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079BC1E8" w:rsidR="008A4A6F" w:rsidRPr="00435DC8" w:rsidRDefault="008A4A6F" w:rsidP="008A4A6F">
      <w:pPr>
        <w:pStyle w:val="a3"/>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0F1902">
        <w:rPr>
          <w:rFonts w:ascii="Arial" w:hAnsi="Arial" w:cs="Arial"/>
          <w:noProof w:val="0"/>
          <w:sz w:val="22"/>
        </w:rPr>
        <w:t xml:space="preserve">#88  </w:t>
      </w:r>
      <w:r w:rsidR="000F1902">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435DC8">
        <w:rPr>
          <w:rFonts w:ascii="Arial" w:hAnsi="Arial" w:cs="Arial"/>
          <w:noProof w:val="0"/>
          <w:sz w:val="22"/>
        </w:rPr>
        <w:tab/>
        <w:t xml:space="preserve">   </w:t>
      </w:r>
      <w:r w:rsidR="008540DA" w:rsidRPr="008540DA">
        <w:rPr>
          <w:rFonts w:ascii="Arial" w:hAnsi="Arial" w:cs="Arial"/>
          <w:noProof w:val="0"/>
          <w:sz w:val="22"/>
        </w:rPr>
        <w:t>R4-1810663</w:t>
      </w:r>
    </w:p>
    <w:p w14:paraId="135C89D8" w14:textId="594022EE" w:rsidR="008A4A6F" w:rsidRPr="0083294C" w:rsidRDefault="000F1902" w:rsidP="008A4A6F">
      <w:pPr>
        <w:pStyle w:val="CRCoverPage"/>
        <w:tabs>
          <w:tab w:val="right" w:pos="9639"/>
        </w:tabs>
        <w:spacing w:after="0"/>
        <w:rPr>
          <w:rFonts w:ascii="Arial" w:hAnsi="Arial" w:cs="Arial"/>
          <w:b/>
          <w:sz w:val="22"/>
          <w:lang w:eastAsia="zh-CN"/>
        </w:rPr>
      </w:pPr>
      <w:r>
        <w:rPr>
          <w:rFonts w:ascii="Arial" w:eastAsia="宋体" w:hAnsi="Arial"/>
          <w:b/>
          <w:sz w:val="24"/>
          <w:lang w:eastAsia="zh-CN"/>
        </w:rPr>
        <w:t>Gothenburg, Sweden, 20</w:t>
      </w:r>
      <w:r w:rsidRPr="000F1902">
        <w:rPr>
          <w:rFonts w:ascii="Arial" w:eastAsia="宋体" w:hAnsi="Arial"/>
          <w:b/>
          <w:sz w:val="24"/>
          <w:lang w:eastAsia="zh-CN"/>
        </w:rPr>
        <w:t xml:space="preserve"> – 24 August 2018</w:t>
      </w:r>
    </w:p>
    <w:bookmarkEnd w:id="0"/>
    <w:p w14:paraId="6020DF7C" w14:textId="77777777" w:rsidR="008A4A6F" w:rsidRPr="0083294C" w:rsidRDefault="008A4A6F" w:rsidP="008A4A6F">
      <w:pPr>
        <w:pStyle w:val="a4"/>
        <w:jc w:val="both"/>
        <w:rPr>
          <w:rFonts w:ascii="Arial" w:hAnsi="Arial" w:cs="Arial"/>
          <w:noProof w:val="0"/>
          <w:lang w:val="en-GB"/>
        </w:rPr>
      </w:pPr>
    </w:p>
    <w:p w14:paraId="682A84D7" w14:textId="7197A520" w:rsidR="008A4A6F" w:rsidRPr="008C1233" w:rsidRDefault="008A4A6F" w:rsidP="009630B9">
      <w:pPr>
        <w:ind w:left="2100" w:hanging="2100"/>
        <w:jc w:val="both"/>
        <w:rPr>
          <w:rFonts w:ascii="Arial" w:hAnsi="Arial" w:cs="Arial"/>
          <w:sz w:val="24"/>
        </w:rPr>
      </w:pPr>
      <w:r w:rsidRPr="0083294C">
        <w:rPr>
          <w:rFonts w:ascii="Arial" w:hAnsi="Arial" w:cs="Arial"/>
          <w:b/>
          <w:sz w:val="24"/>
        </w:rPr>
        <w:t>Title:</w:t>
      </w:r>
      <w:r w:rsidR="009630B9">
        <w:rPr>
          <w:rFonts w:ascii="Arial" w:hAnsi="Arial" w:cs="Arial"/>
          <w:sz w:val="24"/>
        </w:rPr>
        <w:t xml:space="preserve"> </w:t>
      </w:r>
      <w:r w:rsidR="009630B9">
        <w:rPr>
          <w:rFonts w:ascii="Arial" w:hAnsi="Arial" w:cs="Arial"/>
          <w:sz w:val="24"/>
        </w:rPr>
        <w:tab/>
      </w:r>
      <w:r w:rsidR="009C2445" w:rsidRPr="009C2445">
        <w:rPr>
          <w:rFonts w:ascii="Arial" w:hAnsi="Arial" w:cs="Arial" w:hint="eastAsia"/>
          <w:sz w:val="24"/>
        </w:rPr>
        <w:t>Further discussion on merging of MOs configured by MN and SN</w:t>
      </w:r>
    </w:p>
    <w:p w14:paraId="4237226B" w14:textId="0059CFCC"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00966C0F">
        <w:rPr>
          <w:rFonts w:ascii="Arial" w:hAnsi="Arial" w:cs="Arial"/>
          <w:sz w:val="24"/>
        </w:rPr>
        <w:t>Huawei, His</w:t>
      </w:r>
      <w:r w:rsidRPr="0083294C">
        <w:rPr>
          <w:rFonts w:ascii="Arial" w:hAnsi="Arial" w:cs="Arial"/>
          <w:sz w:val="24"/>
        </w:rPr>
        <w:t>ilicon</w:t>
      </w:r>
    </w:p>
    <w:p w14:paraId="58303571" w14:textId="4B8658C5"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2F5782">
        <w:rPr>
          <w:rFonts w:ascii="Arial" w:hAnsi="Arial" w:cs="Arial"/>
          <w:sz w:val="24"/>
        </w:rPr>
        <w:t>7.11.2</w:t>
      </w:r>
      <w:bookmarkStart w:id="1" w:name="_GoBack"/>
      <w:bookmarkEnd w:id="1"/>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1"/>
        <w:jc w:val="both"/>
        <w:rPr>
          <w:rFonts w:ascii="Arial" w:hAnsi="Arial" w:cs="Arial"/>
          <w:lang w:val="en-US"/>
        </w:rPr>
      </w:pPr>
      <w:r w:rsidRPr="00C560A6">
        <w:rPr>
          <w:rFonts w:ascii="Arial" w:hAnsi="Arial" w:cs="Arial"/>
          <w:lang w:val="en-US"/>
        </w:rPr>
        <w:t>Introduction</w:t>
      </w:r>
    </w:p>
    <w:p w14:paraId="53BE0B1E" w14:textId="18DE9420" w:rsidR="00D060ED" w:rsidRPr="00D060ED" w:rsidRDefault="009B4425" w:rsidP="00C81E8E">
      <w:pPr>
        <w:jc w:val="both"/>
      </w:pPr>
      <w:r>
        <w:t>Merging MOs configured for the same carrier frequency by MN and SN has already been discussed for several meetings in RAN4. The agreements reached are listed as follows:</w:t>
      </w:r>
    </w:p>
    <w:tbl>
      <w:tblPr>
        <w:tblStyle w:val="ab"/>
        <w:tblW w:w="0" w:type="auto"/>
        <w:tblLook w:val="04A0" w:firstRow="1" w:lastRow="0" w:firstColumn="1" w:lastColumn="0" w:noHBand="0" w:noVBand="1"/>
      </w:tblPr>
      <w:tblGrid>
        <w:gridCol w:w="8296"/>
      </w:tblGrid>
      <w:tr w:rsidR="002163AB" w14:paraId="5DE15451" w14:textId="77777777" w:rsidTr="002163AB">
        <w:tc>
          <w:tcPr>
            <w:tcW w:w="8296" w:type="dxa"/>
          </w:tcPr>
          <w:p w14:paraId="583141A4" w14:textId="77777777" w:rsidR="00E13927" w:rsidRDefault="00845708" w:rsidP="00BA61D4">
            <w:r>
              <w:rPr>
                <w:rFonts w:eastAsia="MS Mincho"/>
                <w:highlight w:val="green"/>
                <w:lang w:eastAsia="ja-JP"/>
              </w:rPr>
              <w:t>RAN4 #87</w:t>
            </w:r>
            <w:r w:rsidR="00ED1918">
              <w:rPr>
                <w:rFonts w:eastAsia="MS Mincho"/>
                <w:highlight w:val="green"/>
                <w:lang w:eastAsia="ja-JP"/>
              </w:rPr>
              <w:t xml:space="preserve"> </w:t>
            </w:r>
            <w:r w:rsidR="000A6713" w:rsidRPr="00A9620E">
              <w:rPr>
                <w:rFonts w:eastAsia="MS Mincho" w:hint="eastAsia"/>
                <w:highlight w:val="green"/>
                <w:lang w:eastAsia="ja-JP"/>
              </w:rPr>
              <w:t>Agreements:</w:t>
            </w:r>
            <w:r w:rsidR="00410320" w:rsidRPr="00410320">
              <w:t xml:space="preserve"> </w:t>
            </w:r>
          </w:p>
          <w:p w14:paraId="24BFF670" w14:textId="77777777" w:rsidR="00F93268" w:rsidRDefault="00F93268" w:rsidP="00F93268">
            <w:pPr>
              <w:rPr>
                <w:lang w:val="en-GB"/>
              </w:rPr>
            </w:pPr>
            <w:r w:rsidRPr="00DE38EA">
              <w:rPr>
                <w:lang w:val="en-GB"/>
              </w:rPr>
              <w:t>When the E-UTRA PCell and PSCell configure the same NR carrier frequency layer to be monitored by the UE, this layer shall be counted only once to the total number of effective carrier frequency layers, unless the configured NR carrier frequency layers to be monitored have different subcarrier spacing or different RSSI measurement resources.</w:t>
            </w:r>
          </w:p>
          <w:p w14:paraId="735DE061" w14:textId="77777777" w:rsidR="00F93268" w:rsidRPr="00DE38EA" w:rsidRDefault="00F93268" w:rsidP="00F93268">
            <w:pPr>
              <w:pStyle w:val="aa"/>
              <w:widowControl w:val="0"/>
              <w:numPr>
                <w:ilvl w:val="0"/>
                <w:numId w:val="29"/>
              </w:numPr>
              <w:spacing w:after="0"/>
              <w:ind w:firstLineChars="0"/>
              <w:jc w:val="both"/>
              <w:rPr>
                <w:lang w:val="en-GB"/>
              </w:rPr>
            </w:pPr>
            <w:r w:rsidRPr="00DE38EA">
              <w:rPr>
                <w:lang w:val="en-GB"/>
              </w:rPr>
              <w:t>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t>
            </w:r>
          </w:p>
          <w:p w14:paraId="32A136F5" w14:textId="5D301394" w:rsidR="00F93268" w:rsidRDefault="00F93268" w:rsidP="00F93268">
            <w:r>
              <w:rPr>
                <w:rFonts w:eastAsia="MS Mincho"/>
                <w:highlight w:val="green"/>
                <w:lang w:eastAsia="ja-JP"/>
              </w:rPr>
              <w:t xml:space="preserve">RAN4 AH1807 </w:t>
            </w:r>
            <w:r w:rsidRPr="00A9620E">
              <w:rPr>
                <w:rFonts w:eastAsia="MS Mincho" w:hint="eastAsia"/>
                <w:highlight w:val="green"/>
                <w:lang w:eastAsia="ja-JP"/>
              </w:rPr>
              <w:t>Agreements:</w:t>
            </w:r>
            <w:r w:rsidRPr="00410320">
              <w:t xml:space="preserve"> </w:t>
            </w:r>
          </w:p>
          <w:p w14:paraId="07BFFD28" w14:textId="77777777" w:rsidR="00F93268" w:rsidRPr="00FC732D" w:rsidRDefault="00F93268" w:rsidP="00F93268">
            <w:pPr>
              <w:pStyle w:val="aa"/>
              <w:widowControl w:val="0"/>
              <w:numPr>
                <w:ilvl w:val="0"/>
                <w:numId w:val="33"/>
              </w:numPr>
              <w:spacing w:after="0"/>
              <w:ind w:firstLineChars="0"/>
              <w:jc w:val="both"/>
              <w:rPr>
                <w:lang w:val="en-GB"/>
              </w:rPr>
            </w:pPr>
            <w:r w:rsidRPr="00FC732D">
              <w:rPr>
                <w:lang w:val="en-GB"/>
              </w:rPr>
              <w:t>Two MOs with different useServingCellTimingForSync indication.</w:t>
            </w:r>
          </w:p>
          <w:p w14:paraId="6B5F989B" w14:textId="77777777" w:rsidR="00F93268" w:rsidRDefault="00F93268" w:rsidP="00F93268">
            <w:pPr>
              <w:pStyle w:val="aa"/>
              <w:widowControl w:val="0"/>
              <w:numPr>
                <w:ilvl w:val="0"/>
                <w:numId w:val="32"/>
              </w:numPr>
              <w:spacing w:after="0"/>
              <w:ind w:firstLineChars="0"/>
              <w:jc w:val="both"/>
              <w:rPr>
                <w:lang w:val="en-GB"/>
              </w:rPr>
            </w:pPr>
            <w:r w:rsidRPr="00572F7A">
              <w:rPr>
                <w:lang w:val="en-GB"/>
              </w:rPr>
              <w:t>counted as two layers</w:t>
            </w:r>
          </w:p>
          <w:p w14:paraId="15F11C8F" w14:textId="379585B3" w:rsidR="00F93268" w:rsidRPr="00F93268" w:rsidRDefault="00F93268" w:rsidP="00F93268">
            <w:pPr>
              <w:pStyle w:val="aa"/>
              <w:widowControl w:val="0"/>
              <w:numPr>
                <w:ilvl w:val="1"/>
                <w:numId w:val="32"/>
              </w:numPr>
              <w:spacing w:after="0"/>
              <w:ind w:firstLineChars="0"/>
              <w:jc w:val="both"/>
              <w:rPr>
                <w:lang w:val="en-GB"/>
              </w:rPr>
            </w:pPr>
            <w:r w:rsidRPr="00572F7A">
              <w:rPr>
                <w:lang w:val="en-GB"/>
              </w:rPr>
              <w:t>Apply for 38.133</w:t>
            </w:r>
          </w:p>
        </w:tc>
      </w:tr>
    </w:tbl>
    <w:p w14:paraId="2E987C9E" w14:textId="2BCBA32D" w:rsidR="00D060ED" w:rsidRDefault="00F93268" w:rsidP="00D060ED">
      <w:pPr>
        <w:jc w:val="both"/>
      </w:pPr>
      <w:r>
        <w:t>So the only issue left open is whether Two MOs can be merged when SMTC is the same</w:t>
      </w:r>
      <w:r w:rsidR="000B0854">
        <w:rPr>
          <w:rFonts w:hint="eastAsia"/>
        </w:rPr>
        <w:t xml:space="preserve"> or different</w:t>
      </w:r>
      <w:r>
        <w:t xml:space="preserve">. </w:t>
      </w:r>
      <w:r w:rsidR="00D060ED">
        <w:t>In this contribution, we continue to discuss this issue.</w:t>
      </w:r>
    </w:p>
    <w:p w14:paraId="092461EB" w14:textId="2C74D093" w:rsidR="00945091" w:rsidRPr="00D83FD1" w:rsidRDefault="00D060ED" w:rsidP="00703A8A">
      <w:pPr>
        <w:pStyle w:val="1"/>
        <w:jc w:val="both"/>
        <w:rPr>
          <w:rFonts w:ascii="Arial" w:eastAsiaTheme="minorEastAsia" w:hAnsi="Arial" w:cs="Arial"/>
          <w:lang w:val="en-US" w:eastAsia="zh-CN"/>
        </w:rPr>
      </w:pPr>
      <w:r>
        <w:rPr>
          <w:rFonts w:ascii="Arial" w:eastAsiaTheme="minorEastAsia" w:hAnsi="Arial" w:cs="Arial"/>
          <w:lang w:val="en-US" w:eastAsia="zh-CN"/>
        </w:rPr>
        <w:t xml:space="preserve">Discussion on the </w:t>
      </w:r>
      <w:r w:rsidR="00D10539">
        <w:rPr>
          <w:rFonts w:ascii="Arial" w:eastAsiaTheme="minorEastAsia" w:hAnsi="Arial" w:cs="Arial"/>
          <w:lang w:val="en-US" w:eastAsia="zh-CN"/>
        </w:rPr>
        <w:t>impact of timing difference between PCell and PSCell on MOs merging</w:t>
      </w:r>
    </w:p>
    <w:p w14:paraId="2036EC94" w14:textId="405C4C32" w:rsidR="00D10539" w:rsidRDefault="00D10539" w:rsidP="00D10539">
      <w:pPr>
        <w:jc w:val="both"/>
      </w:pPr>
      <w:r>
        <w:t xml:space="preserve">In the discussions during previous RAN4 meetings, the principle of determining whether two MOs </w:t>
      </w:r>
      <w:r w:rsidR="000A7D4E">
        <w:t xml:space="preserve">for the same carrier frequency </w:t>
      </w:r>
      <w:r>
        <w:t xml:space="preserve">can be merged is reached. The principle is, in general, that two MOs can be counted as one </w:t>
      </w:r>
      <w:r w:rsidR="000A7D4E">
        <w:t xml:space="preserve">only </w:t>
      </w:r>
      <w:r>
        <w:t xml:space="preserve">if the measurement on the merged MO </w:t>
      </w:r>
      <w:r w:rsidR="001A4F2D">
        <w:t xml:space="preserve">at least </w:t>
      </w:r>
      <w:r>
        <w:t>doesn’t bring any additi</w:t>
      </w:r>
      <w:r w:rsidR="000A7D4E">
        <w:t>onal work comparing with one of the two original MOs, otherwise they should be counted as two. In our opinion ther principle makes sense. The following discussion will be built on this base.</w:t>
      </w:r>
    </w:p>
    <w:p w14:paraId="7288C6D0" w14:textId="0DC7E976" w:rsidR="00225E94" w:rsidRDefault="000A7D4E" w:rsidP="000A7D4E">
      <w:pPr>
        <w:jc w:val="both"/>
      </w:pPr>
      <w:r>
        <w:rPr>
          <w:rFonts w:hint="eastAsia"/>
        </w:rPr>
        <w:lastRenderedPageBreak/>
        <w:t xml:space="preserve">When discussing the impact of SMTC on MO merging, there is another important and closely related </w:t>
      </w:r>
      <w:r>
        <w:t xml:space="preserve">factor needs to be considered: the timing reference of SMTC. </w:t>
      </w:r>
      <w:r w:rsidR="00D10539">
        <w:t xml:space="preserve">According to 36.331 and 38.331, the timing references for the NR inter-RAT measurement </w:t>
      </w:r>
      <w:r>
        <w:t xml:space="preserve">configured by </w:t>
      </w:r>
      <w:r w:rsidR="00D10539">
        <w:t>LTE PCell</w:t>
      </w:r>
      <w:r>
        <w:t xml:space="preserve"> </w:t>
      </w:r>
      <w:r w:rsidR="00D10539">
        <w:t xml:space="preserve">and the NR measurement </w:t>
      </w:r>
      <w:r>
        <w:t xml:space="preserve">configured by </w:t>
      </w:r>
      <w:r w:rsidR="00D10539">
        <w:t>NR PSCell are PCell and PSCell, respectively.</w:t>
      </w:r>
    </w:p>
    <w:tbl>
      <w:tblPr>
        <w:tblStyle w:val="ab"/>
        <w:tblW w:w="0" w:type="auto"/>
        <w:tblLook w:val="04A0" w:firstRow="1" w:lastRow="0" w:firstColumn="1" w:lastColumn="0" w:noHBand="0" w:noVBand="1"/>
      </w:tblPr>
      <w:tblGrid>
        <w:gridCol w:w="8296"/>
      </w:tblGrid>
      <w:tr w:rsidR="00E50636" w14:paraId="1500A42E" w14:textId="77777777" w:rsidTr="00E50636">
        <w:tc>
          <w:tcPr>
            <w:tcW w:w="8296" w:type="dxa"/>
          </w:tcPr>
          <w:p w14:paraId="00E37FDA" w14:textId="77777777" w:rsidR="00E50636" w:rsidRDefault="00E50636" w:rsidP="00D060ED">
            <w:pPr>
              <w:jc w:val="both"/>
            </w:pPr>
            <w:r>
              <w:rPr>
                <w:rFonts w:hint="eastAsia"/>
              </w:rPr>
              <w:t>38.331</w:t>
            </w:r>
            <w:r>
              <w:rPr>
                <w:rFonts w:hint="eastAsia"/>
              </w:rPr>
              <w:t>：</w:t>
            </w:r>
          </w:p>
          <w:p w14:paraId="32AC82F2" w14:textId="77777777" w:rsidR="00E50636" w:rsidRPr="00F35584" w:rsidRDefault="00E50636" w:rsidP="00E50636">
            <w:pPr>
              <w:pStyle w:val="4"/>
              <w:numPr>
                <w:ilvl w:val="0"/>
                <w:numId w:val="0"/>
              </w:numPr>
              <w:ind w:left="864" w:hanging="864"/>
            </w:pPr>
            <w:bookmarkStart w:id="2" w:name="_Toc510018525"/>
            <w:r w:rsidRPr="00F35584">
              <w:t>5.5.2.10</w:t>
            </w:r>
            <w:r w:rsidRPr="00F35584">
              <w:tab/>
              <w:t>Reference signal measurement timing configuration</w:t>
            </w:r>
            <w:bookmarkEnd w:id="2"/>
          </w:p>
          <w:p w14:paraId="1F2852F6" w14:textId="77777777" w:rsidR="00E50636" w:rsidRPr="00F35584" w:rsidRDefault="00E50636" w:rsidP="00E50636">
            <w:r w:rsidRPr="00F35584">
              <w:t xml:space="preserve">The UE shall setup the first SS/PBCH block measurement timing configuration (SMTC) in accordance with the received </w:t>
            </w:r>
            <w:r w:rsidRPr="00F35584">
              <w:rPr>
                <w:i/>
              </w:rPr>
              <w:t>periodicityAndOffset</w:t>
            </w:r>
            <w:r w:rsidRPr="00F35584">
              <w:t xml:space="preserve"> parameter (providing </w:t>
            </w:r>
            <w:r w:rsidRPr="00F35584">
              <w:rPr>
                <w:i/>
              </w:rPr>
              <w:t>Periodicity</w:t>
            </w:r>
            <w:r w:rsidRPr="00F35584">
              <w:t xml:space="preserve"> and </w:t>
            </w:r>
            <w:r w:rsidRPr="00F35584">
              <w:rPr>
                <w:i/>
              </w:rPr>
              <w:t xml:space="preserve">Offset </w:t>
            </w:r>
            <w:r w:rsidRPr="00F35584">
              <w:t xml:space="preserve">value for the following condition) in the </w:t>
            </w:r>
            <w:r w:rsidRPr="00F35584">
              <w:rPr>
                <w:i/>
              </w:rPr>
              <w:t>smtc1</w:t>
            </w:r>
            <w:r w:rsidRPr="00F35584">
              <w:t xml:space="preserve"> configuration. </w:t>
            </w:r>
            <w:r w:rsidRPr="00E50636">
              <w:t xml:space="preserve">The first subframe of each SMTC occasion </w:t>
            </w:r>
            <w:r w:rsidRPr="00E50636">
              <w:rPr>
                <w:highlight w:val="yellow"/>
              </w:rPr>
              <w:t>occurs at an SFN and subframe of the NR SpCell</w:t>
            </w:r>
            <w:r w:rsidRPr="00E50636">
              <w:t xml:space="preserve"> meeting the following condition:</w:t>
            </w:r>
          </w:p>
          <w:p w14:paraId="312A578E" w14:textId="77777777" w:rsidR="00E50636" w:rsidRDefault="00E50636" w:rsidP="00D060ED">
            <w:pPr>
              <w:jc w:val="both"/>
            </w:pPr>
            <w:r>
              <w:rPr>
                <w:rFonts w:hint="eastAsia"/>
              </w:rPr>
              <w:t>36.331</w:t>
            </w:r>
            <w:r>
              <w:rPr>
                <w:rFonts w:hint="eastAsia"/>
              </w:rPr>
              <w:t>：</w:t>
            </w:r>
          </w:p>
          <w:p w14:paraId="406DAAE4" w14:textId="77777777" w:rsidR="00E50636" w:rsidRPr="00CC7909" w:rsidRDefault="00E50636" w:rsidP="00E50636">
            <w:pPr>
              <w:pStyle w:val="4"/>
              <w:numPr>
                <w:ilvl w:val="0"/>
                <w:numId w:val="0"/>
              </w:numPr>
              <w:ind w:left="864" w:hanging="864"/>
            </w:pPr>
            <w:bookmarkStart w:id="3" w:name="_Toc518998545"/>
            <w:r w:rsidRPr="00CC7909">
              <w:t>5.5.2.13</w:t>
            </w:r>
            <w:r w:rsidRPr="00CC7909">
              <w:tab/>
              <w:t>NR measurement timing configuration</w:t>
            </w:r>
            <w:bookmarkEnd w:id="3"/>
          </w:p>
          <w:p w14:paraId="7B700F1C" w14:textId="27CF81DE" w:rsidR="00E50636" w:rsidRPr="00E50636" w:rsidRDefault="00E50636" w:rsidP="00E50636">
            <w:pPr>
              <w:rPr>
                <w:rFonts w:eastAsiaTheme="minorEastAsia"/>
              </w:rPr>
            </w:pPr>
            <w:r w:rsidRPr="00CC7909">
              <w:rPr>
                <w:rFonts w:eastAsia="Calibri"/>
              </w:rPr>
              <w:t xml:space="preserve">The UE shall setup the first SS/PBCH block measurement timing configuration (SMTC) in accordance with the received </w:t>
            </w:r>
            <w:r w:rsidRPr="00CC7909">
              <w:rPr>
                <w:rFonts w:eastAsia="Calibri"/>
                <w:i/>
                <w:iCs/>
              </w:rPr>
              <w:t>periodicityAndOffset</w:t>
            </w:r>
            <w:r w:rsidRPr="00CC7909">
              <w:rPr>
                <w:rFonts w:eastAsia="Calibri"/>
              </w:rPr>
              <w:t xml:space="preserve"> parameter in the </w:t>
            </w:r>
            <w:r w:rsidRPr="00CC7909">
              <w:rPr>
                <w:rFonts w:eastAsia="Calibri"/>
                <w:i/>
              </w:rPr>
              <w:t>MTC-SSB-NR</w:t>
            </w:r>
            <w:r w:rsidRPr="00CC7909">
              <w:rPr>
                <w:rFonts w:eastAsia="Calibri"/>
              </w:rPr>
              <w:t xml:space="preserve"> configuration i.e., the first subframe of each SMTC occasion </w:t>
            </w:r>
            <w:r w:rsidRPr="00E50636">
              <w:rPr>
                <w:rFonts w:eastAsia="Calibri"/>
                <w:highlight w:val="yellow"/>
              </w:rPr>
              <w:t>occurs at</w:t>
            </w:r>
            <w:r w:rsidRPr="00E50636">
              <w:rPr>
                <w:highlight w:val="yellow"/>
                <w:lang w:eastAsia="en-US"/>
              </w:rPr>
              <w:t xml:space="preserve"> an SFN and subframe of the PCell</w:t>
            </w:r>
            <w:r w:rsidRPr="00CC7909">
              <w:rPr>
                <w:lang w:eastAsia="en-US"/>
              </w:rPr>
              <w:t xml:space="preserve"> meeting the following condition:</w:t>
            </w:r>
          </w:p>
        </w:tc>
      </w:tr>
    </w:tbl>
    <w:p w14:paraId="05207893" w14:textId="77777777" w:rsidR="00B507B7" w:rsidRDefault="00F04C64" w:rsidP="00D060ED">
      <w:pPr>
        <w:jc w:val="both"/>
      </w:pPr>
      <w:r>
        <w:t>According to 38.133, the MRTD</w:t>
      </w:r>
      <w:r w:rsidRPr="00F04C64">
        <w:t xml:space="preserve"> under asynchronous EN-DC may be </w:t>
      </w:r>
      <w:r>
        <w:t xml:space="preserve">up to </w:t>
      </w:r>
      <w:r w:rsidRPr="00F04C64">
        <w:t>500 us (inter-band async EN-DC</w:t>
      </w:r>
      <w:r>
        <w:t xml:space="preserve"> case</w:t>
      </w:r>
      <w:r w:rsidRPr="00F04C64">
        <w:t>), so even if the MO</w:t>
      </w:r>
      <w:r>
        <w:t>s</w:t>
      </w:r>
      <w:r w:rsidRPr="00F04C64">
        <w:t xml:space="preserve"> configured by the PCell and the PSCell have the same SMTC configuration, due to the </w:t>
      </w:r>
      <w:r>
        <w:t xml:space="preserve">difference of </w:t>
      </w:r>
      <w:r w:rsidR="00B507B7">
        <w:t xml:space="preserve">timing reference, </w:t>
      </w:r>
      <w:r w:rsidRPr="00F04C64">
        <w:t xml:space="preserve">SSB </w:t>
      </w:r>
      <w:r w:rsidR="00B507B7">
        <w:t xml:space="preserve">can be measured when using SMTC of PCell and SSB can be measured when using SMTC of PSCell may be different. </w:t>
      </w:r>
    </w:p>
    <w:p w14:paraId="33B891E5" w14:textId="7A89F31D" w:rsidR="00192816" w:rsidRDefault="00F04C64" w:rsidP="00D060ED">
      <w:pPr>
        <w:jc w:val="both"/>
      </w:pPr>
      <w:r w:rsidRPr="00F04C64">
        <w:t>Figure 1</w:t>
      </w:r>
      <w:r w:rsidR="00B507B7">
        <w:t xml:space="preserve"> is an example of</w:t>
      </w:r>
      <w:r w:rsidRPr="00F04C64">
        <w:t xml:space="preserve"> async EN-DC. </w:t>
      </w:r>
      <w:r w:rsidR="00B507B7">
        <w:t xml:space="preserve">In this example we </w:t>
      </w:r>
      <w:r w:rsidRPr="00F04C64">
        <w:t xml:space="preserve">assume that the reception timing </w:t>
      </w:r>
      <w:r w:rsidR="00B507B7">
        <w:t xml:space="preserve">difference </w:t>
      </w:r>
      <w:r w:rsidRPr="00F04C64">
        <w:t xml:space="preserve">between PCell and PSCell </w:t>
      </w:r>
      <w:r w:rsidR="00B507B7">
        <w:t xml:space="preserve">is </w:t>
      </w:r>
      <w:r w:rsidRPr="00F04C64">
        <w:t>500 us. The SMTC configured by PCell and PSCell has the same offset and period</w:t>
      </w:r>
      <w:r w:rsidR="00B507B7">
        <w:t xml:space="preserve"> and duration. Furthermore, SMTC duration is</w:t>
      </w:r>
      <w:r w:rsidRPr="00F04C64">
        <w:t xml:space="preserve"> 1ms. </w:t>
      </w:r>
      <w:r w:rsidR="00B507B7">
        <w:t>Then</w:t>
      </w:r>
      <w:r w:rsidRPr="00F04C64">
        <w:t xml:space="preserve"> </w:t>
      </w:r>
      <w:r w:rsidR="00B507B7">
        <w:t>UE can measure</w:t>
      </w:r>
      <w:r w:rsidRPr="00F04C64">
        <w:t xml:space="preserve"> the SSB</w:t>
      </w:r>
      <w:r w:rsidR="00B507B7">
        <w:t>s</w:t>
      </w:r>
      <w:r w:rsidRPr="00F04C64">
        <w:t xml:space="preserve"> in the </w:t>
      </w:r>
      <w:r w:rsidR="00B507B7">
        <w:t xml:space="preserve">time interval </w:t>
      </w:r>
      <m:oMath>
        <m:d>
          <m:dPr>
            <m:begChr m:val="["/>
            <m:endChr m:val="]"/>
            <m:ctrlPr>
              <w:rPr>
                <w:rFonts w:ascii="Cambria Math" w:hAnsi="Cambria Math"/>
              </w:rPr>
            </m:ctrlPr>
          </m:dPr>
          <m:e>
            <m:r>
              <m:rPr>
                <m:sty m:val="p"/>
              </m:rPr>
              <w:rPr>
                <w:rFonts w:ascii="Cambria Math" w:hAnsi="Cambria Math"/>
              </w:rPr>
              <m:t>offset</m:t>
            </m:r>
            <m:r>
              <w:rPr>
                <w:rFonts w:ascii="Cambria Math" w:hAnsi="Cambria Math"/>
              </w:rPr>
              <m:t xml:space="preserve">,  </m:t>
            </m:r>
            <m:r>
              <m:rPr>
                <m:sty m:val="p"/>
              </m:rPr>
              <w:rPr>
                <w:rFonts w:ascii="Cambria Math" w:hAnsi="Cambria Math"/>
              </w:rPr>
              <m:t>offset+1</m:t>
            </m:r>
          </m:e>
        </m:d>
      </m:oMath>
      <w:r w:rsidR="00B507B7">
        <w:t xml:space="preserve"> when using PSCell as timing reference, and UE can measure</w:t>
      </w:r>
      <w:r w:rsidRPr="00F04C64">
        <w:t xml:space="preserve"> the SSB</w:t>
      </w:r>
      <w:r w:rsidR="00B507B7">
        <w:t>s</w:t>
      </w:r>
      <w:r w:rsidRPr="00F04C64">
        <w:t xml:space="preserve"> in the </w:t>
      </w:r>
      <w:r w:rsidR="00B507B7">
        <w:t xml:space="preserve">time interval </w:t>
      </w:r>
      <m:oMath>
        <m:d>
          <m:dPr>
            <m:begChr m:val="["/>
            <m:endChr m:val="]"/>
            <m:ctrlPr>
              <w:rPr>
                <w:rFonts w:ascii="Cambria Math" w:hAnsi="Cambria Math"/>
              </w:rPr>
            </m:ctrlPr>
          </m:dPr>
          <m:e>
            <m:r>
              <m:rPr>
                <m:sty m:val="p"/>
              </m:rPr>
              <w:rPr>
                <w:rFonts w:ascii="Cambria Math" w:hAnsi="Cambria Math"/>
              </w:rPr>
              <m:t>offset+0.5,  offset+1.5</m:t>
            </m:r>
          </m:e>
        </m:d>
      </m:oMath>
      <w:r w:rsidR="00B507B7">
        <w:rPr>
          <w:rFonts w:hint="eastAsia"/>
        </w:rPr>
        <w:t xml:space="preserve"> when using PCell as timing reference.</w:t>
      </w:r>
      <w:r w:rsidRPr="00F04C64">
        <w:t xml:space="preserve"> SSB</w:t>
      </w:r>
      <w:r w:rsidR="00B507B7">
        <w:t>s</w:t>
      </w:r>
      <w:r w:rsidRPr="00F04C64">
        <w:t xml:space="preserve"> measured </w:t>
      </w:r>
      <w:r w:rsidR="00B507B7">
        <w:t xml:space="preserve">under </w:t>
      </w:r>
      <w:r w:rsidRPr="00F04C64">
        <w:t xml:space="preserve">two </w:t>
      </w:r>
      <w:r w:rsidR="00B507B7">
        <w:t>SMTCs are</w:t>
      </w:r>
      <w:r w:rsidRPr="00F04C64">
        <w:t xml:space="preserve"> not the </w:t>
      </w:r>
      <w:r w:rsidR="00B507B7">
        <w:t>same.</w:t>
      </w:r>
      <w:r w:rsidRPr="00F04C64">
        <w:t xml:space="preserve"> </w:t>
      </w:r>
      <w:r w:rsidR="00B507B7">
        <w:t>I</w:t>
      </w:r>
      <w:r w:rsidRPr="00F04C64">
        <w:t xml:space="preserve">f </w:t>
      </w:r>
      <w:r w:rsidR="00574F9A">
        <w:t xml:space="preserve">we treat these </w:t>
      </w:r>
      <w:r w:rsidRPr="00F04C64">
        <w:t xml:space="preserve">two MOs as one, the duration of the SMTC of the merged MO is equivalent to </w:t>
      </w:r>
      <w:r w:rsidR="00574F9A">
        <w:t>1.5ms rather than 1ms</w:t>
      </w:r>
      <w:r w:rsidRPr="00F04C64">
        <w:t xml:space="preserve">. Obviously, </w:t>
      </w:r>
      <w:r w:rsidR="00574F9A">
        <w:t xml:space="preserve">there is additional works comparing with </w:t>
      </w:r>
      <w:r w:rsidRPr="00F04C64">
        <w:t xml:space="preserve">any </w:t>
      </w:r>
      <w:r w:rsidR="00574F9A">
        <w:t xml:space="preserve">one </w:t>
      </w:r>
      <w:r w:rsidRPr="00F04C64">
        <w:t>of the two MOs.</w:t>
      </w:r>
    </w:p>
    <w:p w14:paraId="7672FE3C" w14:textId="77777777" w:rsidR="00F70BAF" w:rsidRDefault="00F70BAF" w:rsidP="00F70BAF">
      <w:pPr>
        <w:jc w:val="both"/>
      </w:pPr>
      <w:r>
        <w:object w:dxaOrig="23700" w:dyaOrig="8685" w14:anchorId="724C5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52pt" o:ole="">
            <v:imagedata r:id="rId8" o:title=""/>
          </v:shape>
          <o:OLEObject Type="Embed" ProgID="Visio.Drawing.15" ShapeID="_x0000_i1025" DrawAspect="Content" ObjectID="_1595439622" r:id="rId9"/>
        </w:object>
      </w:r>
    </w:p>
    <w:p w14:paraId="34903C82" w14:textId="77777777" w:rsidR="00F70BAF" w:rsidRPr="00F70BAF" w:rsidRDefault="00F70BAF" w:rsidP="00F70BAF">
      <w:pPr>
        <w:jc w:val="center"/>
        <w:rPr>
          <w:b/>
          <w:sz w:val="18"/>
        </w:rPr>
      </w:pPr>
      <w:r w:rsidRPr="00F70BAF">
        <w:rPr>
          <w:b/>
          <w:sz w:val="18"/>
        </w:rPr>
        <w:t>Fig.1 Demonstration of async EN-DC</w:t>
      </w:r>
    </w:p>
    <w:p w14:paraId="073AB55D" w14:textId="77777777" w:rsidR="00F70BAF" w:rsidRPr="00F70BAF" w:rsidRDefault="00F70BAF" w:rsidP="00D060ED">
      <w:pPr>
        <w:jc w:val="both"/>
      </w:pPr>
    </w:p>
    <w:p w14:paraId="1940A8BB" w14:textId="73693381" w:rsidR="00574F9A" w:rsidRPr="00574F9A" w:rsidRDefault="00574F9A" w:rsidP="00D060ED">
      <w:pPr>
        <w:jc w:val="both"/>
        <w:rPr>
          <w:b/>
          <w:i/>
        </w:rPr>
      </w:pPr>
      <w:r w:rsidRPr="00574F9A">
        <w:rPr>
          <w:rFonts w:hint="eastAsia"/>
          <w:b/>
          <w:i/>
        </w:rPr>
        <w:t>Oberservation 1:</w:t>
      </w:r>
      <w:r w:rsidRPr="00574F9A">
        <w:rPr>
          <w:b/>
          <w:i/>
        </w:rPr>
        <w:t xml:space="preserve"> reception timing difference between PCell and PSCell has impact on the SSB can be measured even SMTCs configured by PCell and PSCell are the same for async EN-DC case</w:t>
      </w:r>
    </w:p>
    <w:p w14:paraId="16AF554E" w14:textId="1A45F4A6" w:rsidR="00574F9A" w:rsidRDefault="00574F9A" w:rsidP="00D060ED">
      <w:pPr>
        <w:jc w:val="both"/>
      </w:pPr>
      <w:r>
        <w:rPr>
          <w:rFonts w:hint="eastAsia"/>
        </w:rPr>
        <w:t>For sync EN-DC case, MRTD can be up to 33us</w:t>
      </w:r>
      <w:r>
        <w:t xml:space="preserve"> </w:t>
      </w:r>
      <w:r>
        <w:rPr>
          <w:rFonts w:hint="eastAsia"/>
        </w:rPr>
        <w:t>(</w:t>
      </w:r>
      <w:r>
        <w:t>inter-band sync EN-DC case</w:t>
      </w:r>
      <w:r>
        <w:rPr>
          <w:rFonts w:hint="eastAsia"/>
        </w:rPr>
        <w:t>)</w:t>
      </w:r>
      <w:r>
        <w:t xml:space="preserve">, which equals to the length of half a OFDM symbol with 15KHz SCS. As a result, </w:t>
      </w:r>
      <w:r w:rsidRPr="00574F9A">
        <w:t xml:space="preserve">reception timing difference between PCell and PSCell </w:t>
      </w:r>
      <w:r w:rsidR="001A4F2D">
        <w:t>has no</w:t>
      </w:r>
      <w:r>
        <w:t xml:space="preserve"> </w:t>
      </w:r>
      <w:r w:rsidRPr="00574F9A">
        <w:t xml:space="preserve">impact on the SSB can be measured </w:t>
      </w:r>
      <w:r w:rsidR="001A4F2D">
        <w:t xml:space="preserve">if </w:t>
      </w:r>
      <w:r w:rsidRPr="00574F9A">
        <w:t>SMTCs configured b</w:t>
      </w:r>
      <w:r w:rsidR="001A4F2D">
        <w:t xml:space="preserve">y PCell and PSCell are the same. </w:t>
      </w:r>
      <w:r>
        <w:t>Because SSBs transmitted is every SSB-burst half-frame is at least 33us away from subframe boundary</w:t>
      </w:r>
      <w:r w:rsidR="001A4F2D">
        <w:t xml:space="preserve"> (depicted in figure 2)</w:t>
      </w:r>
      <w:r>
        <w:t xml:space="preserve">. </w:t>
      </w:r>
    </w:p>
    <w:p w14:paraId="0D74DFB6" w14:textId="2460C9BC" w:rsidR="00F70BAF" w:rsidRDefault="00F70BAF" w:rsidP="00D060ED">
      <w:pPr>
        <w:jc w:val="both"/>
      </w:pPr>
      <w:r>
        <w:object w:dxaOrig="23700" w:dyaOrig="8685" w14:anchorId="57B70C54">
          <v:shape id="_x0000_i1026" type="#_x0000_t75" style="width:415pt;height:152pt" o:ole="">
            <v:imagedata r:id="rId10" o:title=""/>
          </v:shape>
          <o:OLEObject Type="Embed" ProgID="Visio.Drawing.15" ShapeID="_x0000_i1026" DrawAspect="Content" ObjectID="_1595439623" r:id="rId11"/>
        </w:object>
      </w:r>
    </w:p>
    <w:p w14:paraId="1E765014" w14:textId="315451F2" w:rsidR="00F70BAF" w:rsidRPr="00F70BAF" w:rsidRDefault="00F70BAF" w:rsidP="00F70BAF">
      <w:pPr>
        <w:jc w:val="center"/>
        <w:rPr>
          <w:b/>
          <w:sz w:val="18"/>
        </w:rPr>
      </w:pPr>
      <w:r w:rsidRPr="00F70BAF">
        <w:rPr>
          <w:b/>
          <w:sz w:val="18"/>
        </w:rPr>
        <w:t>Fig.</w:t>
      </w:r>
      <w:r>
        <w:rPr>
          <w:b/>
          <w:sz w:val="18"/>
        </w:rPr>
        <w:t xml:space="preserve">2 Demonstration of </w:t>
      </w:r>
      <w:r w:rsidRPr="00F70BAF">
        <w:rPr>
          <w:b/>
          <w:sz w:val="18"/>
        </w:rPr>
        <w:t>sync EN-DC</w:t>
      </w:r>
    </w:p>
    <w:p w14:paraId="08C73802" w14:textId="55E441E1" w:rsidR="001A4F2D" w:rsidRPr="00574F9A" w:rsidRDefault="001A4F2D" w:rsidP="001A4F2D">
      <w:pPr>
        <w:jc w:val="both"/>
        <w:rPr>
          <w:b/>
          <w:i/>
        </w:rPr>
      </w:pPr>
      <w:r w:rsidRPr="00574F9A">
        <w:rPr>
          <w:rFonts w:hint="eastAsia"/>
          <w:b/>
          <w:i/>
        </w:rPr>
        <w:t>Oberservation 1:</w:t>
      </w:r>
      <w:r w:rsidRPr="00574F9A">
        <w:rPr>
          <w:b/>
          <w:i/>
        </w:rPr>
        <w:t xml:space="preserve"> reception timing difference between PCell and PSCell has </w:t>
      </w:r>
      <w:r>
        <w:rPr>
          <w:b/>
          <w:i/>
        </w:rPr>
        <w:t xml:space="preserve">no </w:t>
      </w:r>
      <w:r w:rsidRPr="00574F9A">
        <w:rPr>
          <w:b/>
          <w:i/>
        </w:rPr>
        <w:t xml:space="preserve">impact on the SSB can be measured </w:t>
      </w:r>
      <w:r>
        <w:rPr>
          <w:b/>
          <w:i/>
        </w:rPr>
        <w:t xml:space="preserve">if </w:t>
      </w:r>
      <w:r w:rsidRPr="00574F9A">
        <w:rPr>
          <w:b/>
          <w:i/>
        </w:rPr>
        <w:t>SMTCs configured by PCell and PSCell are the same for sync EN-DC case</w:t>
      </w:r>
      <w:r>
        <w:rPr>
          <w:b/>
          <w:i/>
        </w:rPr>
        <w:t>.</w:t>
      </w:r>
    </w:p>
    <w:p w14:paraId="1ADF0409" w14:textId="70044A99" w:rsidR="00954099" w:rsidRDefault="001A4F2D" w:rsidP="00D060ED">
      <w:pPr>
        <w:jc w:val="both"/>
      </w:pPr>
      <w:r>
        <w:rPr>
          <w:rFonts w:hint="eastAsia"/>
        </w:rPr>
        <w:t>So we propose</w:t>
      </w:r>
      <w:r>
        <w:t>:</w:t>
      </w:r>
    </w:p>
    <w:p w14:paraId="6FAEB6C1" w14:textId="7AE9CAE7" w:rsidR="001A4F2D" w:rsidRPr="001A4F2D" w:rsidRDefault="001A4F2D" w:rsidP="00D060ED">
      <w:pPr>
        <w:jc w:val="both"/>
        <w:rPr>
          <w:b/>
          <w:i/>
        </w:rPr>
      </w:pPr>
      <w:r w:rsidRPr="001A4F2D">
        <w:rPr>
          <w:rFonts w:hint="eastAsia"/>
          <w:b/>
          <w:i/>
        </w:rPr>
        <w:t xml:space="preserve">Proposal 1: </w:t>
      </w:r>
      <w:r w:rsidRPr="001A4F2D">
        <w:rPr>
          <w:b/>
          <w:i/>
        </w:rPr>
        <w:t xml:space="preserve">MOs configured </w:t>
      </w:r>
      <w:r w:rsidRPr="001A4F2D">
        <w:rPr>
          <w:rFonts w:hint="eastAsia"/>
          <w:b/>
          <w:i/>
        </w:rPr>
        <w:t>by MN and SN should be counted as two for async EN-DC case.</w:t>
      </w:r>
    </w:p>
    <w:p w14:paraId="3B218662" w14:textId="31B79B98" w:rsidR="001A4F2D" w:rsidRPr="00D83FD1" w:rsidRDefault="001A4F2D" w:rsidP="001A4F2D">
      <w:pPr>
        <w:pStyle w:val="1"/>
        <w:jc w:val="both"/>
        <w:rPr>
          <w:rFonts w:ascii="Arial" w:eastAsiaTheme="minorEastAsia" w:hAnsi="Arial" w:cs="Arial"/>
          <w:lang w:val="en-US" w:eastAsia="zh-CN"/>
        </w:rPr>
      </w:pPr>
      <w:r>
        <w:rPr>
          <w:rFonts w:ascii="Arial" w:eastAsiaTheme="minorEastAsia" w:hAnsi="Arial" w:cs="Arial"/>
          <w:lang w:val="en-US" w:eastAsia="zh-CN"/>
        </w:rPr>
        <w:t>Discussion on the impact of SMTC on MOs merging</w:t>
      </w:r>
    </w:p>
    <w:p w14:paraId="4884D7AA" w14:textId="4BCDE065" w:rsidR="00FB1107" w:rsidRPr="00FB1107" w:rsidRDefault="001A4F2D" w:rsidP="00D060ED">
      <w:pPr>
        <w:jc w:val="both"/>
      </w:pPr>
      <w:r>
        <w:rPr>
          <w:rFonts w:hint="eastAsia"/>
        </w:rPr>
        <w:t>Only sync EN-DC case will be consider in the following discussion.</w:t>
      </w:r>
    </w:p>
    <w:p w14:paraId="015AF401" w14:textId="04979BDF" w:rsidR="00D72230" w:rsidRDefault="001A4F2D" w:rsidP="00D060ED">
      <w:pPr>
        <w:jc w:val="both"/>
      </w:pPr>
      <w:r>
        <w:rPr>
          <w:rFonts w:hint="eastAsia"/>
        </w:rPr>
        <w:t xml:space="preserve">In our opinion, measurements on merged MO </w:t>
      </w:r>
      <w:r>
        <w:t xml:space="preserve">without additional work comparing with one of two MOs means that one SMTC is the subset of the other. Otherwise, there will be always additional works. For sake of simplify, Denote the duration, offset and periodicity of </w:t>
      </w:r>
      <w:r w:rsidR="00F70BAF">
        <w:t>SMTC</w:t>
      </w:r>
      <w:r>
        <w:t xml:space="preserve"> #1 as </w:t>
      </w:r>
      <m:oMath>
        <m:sSub>
          <m:sSubPr>
            <m:ctrlPr>
              <w:rPr>
                <w:rFonts w:ascii="Cambria Math" w:hAnsi="Cambria Math"/>
              </w:rPr>
            </m:ctrlPr>
          </m:sSubPr>
          <m:e>
            <m:r>
              <m:rPr>
                <m:sty m:val="p"/>
              </m:rPr>
              <w:rPr>
                <w:rFonts w:ascii="Cambria Math" w:hAnsi="Cambria Math"/>
              </w:rPr>
              <m:t>duration</m:t>
            </m:r>
          </m:e>
          <m:sub>
            <m:r>
              <m:rPr>
                <m:sty m:val="p"/>
              </m:rPr>
              <w:rPr>
                <w:rFonts w:ascii="Cambria Math"/>
              </w:rPr>
              <m:t>1</m:t>
            </m:r>
          </m:sub>
        </m:sSub>
      </m:oMath>
      <w:r>
        <w:rPr>
          <w:rFonts w:hint="eastAsia"/>
        </w:rPr>
        <w:t xml:space="preserve">, </w:t>
      </w:r>
      <m:oMath>
        <m:sSub>
          <m:sSubPr>
            <m:ctrlPr>
              <w:rPr>
                <w:rFonts w:ascii="Cambria Math" w:hAnsi="Cambria Math"/>
              </w:rPr>
            </m:ctrlPr>
          </m:sSubPr>
          <m:e>
            <m:r>
              <m:rPr>
                <m:sty m:val="p"/>
              </m:rPr>
              <w:rPr>
                <w:rFonts w:ascii="Cambria Math" w:hAnsi="Cambria Math"/>
              </w:rPr>
              <m:t>offset</m:t>
            </m:r>
          </m:e>
          <m:sub>
            <m:r>
              <m:rPr>
                <m:sty m:val="p"/>
              </m:rP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periodicity</m:t>
            </m:r>
          </m:e>
          <m:sub>
            <m:r>
              <w:rPr>
                <w:rFonts w:ascii="Cambria Math" w:hAnsi="Cambria Math"/>
              </w:rPr>
              <m:t>1</m:t>
            </m:r>
          </m:sub>
        </m:sSub>
      </m:oMath>
      <w:r>
        <w:t xml:space="preserve"> respective</w:t>
      </w:r>
      <w:r w:rsidR="00F70BAF">
        <w:t xml:space="preserve">ly, and the duration, offset and periodicity of SMTC #2 as </w:t>
      </w:r>
      <m:oMath>
        <m:sSub>
          <m:sSubPr>
            <m:ctrlPr>
              <w:rPr>
                <w:rFonts w:ascii="Cambria Math" w:hAnsi="Cambria Math"/>
              </w:rPr>
            </m:ctrlPr>
          </m:sSubPr>
          <m:e>
            <m:r>
              <m:rPr>
                <m:sty m:val="p"/>
              </m:rPr>
              <w:rPr>
                <w:rFonts w:ascii="Cambria Math" w:hAnsi="Cambria Math"/>
              </w:rPr>
              <m:t>duration</m:t>
            </m:r>
          </m:e>
          <m:sub>
            <m:r>
              <w:rPr>
                <w:rFonts w:ascii="Cambria Math" w:hAnsi="Cambria Math"/>
              </w:rPr>
              <m:t>2</m:t>
            </m:r>
          </m:sub>
        </m:sSub>
      </m:oMath>
      <w:r w:rsidR="00F70BAF">
        <w:rPr>
          <w:rFonts w:hint="eastAsia"/>
        </w:rPr>
        <w:t xml:space="preserve">, </w:t>
      </w:r>
      <m:oMath>
        <m:sSub>
          <m:sSubPr>
            <m:ctrlPr>
              <w:rPr>
                <w:rFonts w:ascii="Cambria Math" w:hAnsi="Cambria Math"/>
              </w:rPr>
            </m:ctrlPr>
          </m:sSubPr>
          <m:e>
            <m:r>
              <m:rPr>
                <m:sty m:val="p"/>
              </m:rPr>
              <w:rPr>
                <w:rFonts w:ascii="Cambria Math" w:hAnsi="Cambria Math"/>
              </w:rPr>
              <m:t>offset</m:t>
            </m:r>
          </m:e>
          <m:sub>
            <m:r>
              <m:rPr>
                <m:sty m:val="p"/>
              </m:rPr>
              <w:rPr>
                <w:rFonts w:ascii="Cambria Math" w:hAnsi="Cambria Math"/>
              </w:rPr>
              <m:t>2</m:t>
            </m:r>
          </m:sub>
        </m:sSub>
      </m:oMath>
      <w:r w:rsidR="00F70BAF">
        <w:t xml:space="preserve">  and </w:t>
      </w:r>
      <m:oMath>
        <m:sSub>
          <m:sSubPr>
            <m:ctrlPr>
              <w:rPr>
                <w:rFonts w:ascii="Cambria Math" w:hAnsi="Cambria Math"/>
              </w:rPr>
            </m:ctrlPr>
          </m:sSubPr>
          <m:e>
            <m:r>
              <m:rPr>
                <m:sty m:val="p"/>
              </m:rPr>
              <w:rPr>
                <w:rFonts w:ascii="Cambria Math" w:hAnsi="Cambria Math"/>
              </w:rPr>
              <m:t>periodicity</m:t>
            </m:r>
          </m:e>
          <m:sub>
            <m:r>
              <w:rPr>
                <w:rFonts w:ascii="Cambria Math" w:hAnsi="Cambria Math"/>
              </w:rPr>
              <m:t>2</m:t>
            </m:r>
          </m:sub>
        </m:sSub>
      </m:oMath>
      <w:r w:rsidR="00F70BAF">
        <w:t xml:space="preserve"> respectively. Without loss of generality, assume </w:t>
      </w:r>
      <m:oMath>
        <m:sSub>
          <m:sSubPr>
            <m:ctrlPr>
              <w:rPr>
                <w:rFonts w:ascii="Cambria Math" w:hAnsi="Cambria Math"/>
              </w:rPr>
            </m:ctrlPr>
          </m:sSubPr>
          <m:e>
            <m:r>
              <m:rPr>
                <m:sty m:val="p"/>
              </m:rPr>
              <w:rPr>
                <w:rFonts w:ascii="Cambria Math" w:hAnsi="Cambria Math"/>
              </w:rPr>
              <m:t>periodicity</m:t>
            </m:r>
          </m:e>
          <m:sub>
            <m:r>
              <w:rPr>
                <w:rFonts w:ascii="Cambria Math" w:hAnsi="Cambria Math"/>
              </w:rPr>
              <m:t>1</m:t>
            </m:r>
          </m:sub>
        </m:sSub>
        <m:r>
          <w:rPr>
            <w:rFonts w:ascii="Cambria Math" w:hAnsi="Cambria Math"/>
          </w:rPr>
          <m:t>≤</m:t>
        </m:r>
        <m:sSub>
          <m:sSubPr>
            <m:ctrlPr>
              <w:rPr>
                <w:rFonts w:ascii="Cambria Math" w:hAnsi="Cambria Math"/>
              </w:rPr>
            </m:ctrlPr>
          </m:sSubPr>
          <m:e>
            <m:r>
              <m:rPr>
                <m:sty m:val="p"/>
              </m:rPr>
              <w:rPr>
                <w:rFonts w:ascii="Cambria Math" w:hAnsi="Cambria Math"/>
              </w:rPr>
              <m:t>periodicity</m:t>
            </m:r>
          </m:e>
          <m:sub>
            <m:r>
              <w:rPr>
                <w:rFonts w:ascii="Cambria Math" w:hAnsi="Cambria Math"/>
              </w:rPr>
              <m:t>2</m:t>
            </m:r>
          </m:sub>
        </m:sSub>
      </m:oMath>
      <w:r w:rsidR="00F70BAF">
        <w:rPr>
          <w:rFonts w:hint="eastAsia"/>
        </w:rPr>
        <w:t>.</w:t>
      </w:r>
      <w:r w:rsidR="00F70BAF">
        <w:t xml:space="preserve"> So a slot i belongs to SMTC #1 if </w:t>
      </w:r>
    </w:p>
    <w:p w14:paraId="1FFCBFA1" w14:textId="38C7EA9E" w:rsidR="009E0B2D" w:rsidRPr="00672DEA" w:rsidRDefault="001F5961" w:rsidP="00D060ED">
      <w:pPr>
        <w:jc w:val="both"/>
      </w:pPr>
      <m:oMathPara>
        <m:oMath>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offset</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m:rPr>
                      <m:sty m:val="p"/>
                    </m:rPr>
                    <w:rPr>
                      <w:rFonts w:ascii="Cambria Math" w:hAnsi="Cambria Math"/>
                    </w:rPr>
                    <m:t>offset</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m:rPr>
                      <m:sty m:val="p"/>
                    </m:rPr>
                    <w:rPr>
                      <w:rFonts w:ascii="Cambria Math" w:hAnsi="Cambria Math"/>
                    </w:rPr>
                    <m:t>duration</m:t>
                  </m:r>
                </m:e>
                <m:sub>
                  <m:r>
                    <m:rPr>
                      <m:sty m:val="p"/>
                    </m:rPr>
                    <w:rPr>
                      <w:rFonts w:ascii="Cambria Math" w:hAnsi="Cambria Math"/>
                    </w:rPr>
                    <m:t>1</m:t>
                  </m:r>
                </m:sub>
              </m:sSub>
              <m:ctrlPr>
                <w:rPr>
                  <w:rFonts w:ascii="Cambria Math" w:hAnsi="Cambria Math"/>
                  <w:i/>
                </w:rPr>
              </m:ctrlPr>
            </m:e>
          </m:d>
          <m:r>
            <m:rPr>
              <m:sty m:val="p"/>
            </m:rPr>
            <w:rPr>
              <w:rFonts w:ascii="Cambria Math" w:hAnsi="Cambria Math"/>
            </w:rPr>
            <m:t>+</m:t>
          </m:r>
          <m:r>
            <w:rPr>
              <w:rFonts w:ascii="Cambria Math" w:hAnsi="Cambria Math"/>
            </w:rPr>
            <m:t>k∙</m:t>
          </m:r>
          <m:sSub>
            <m:sSubPr>
              <m:ctrlPr>
                <w:rPr>
                  <w:rFonts w:ascii="Cambria Math" w:hAnsi="Cambria Math"/>
                </w:rPr>
              </m:ctrlPr>
            </m:sSubPr>
            <m:e>
              <m:r>
                <m:rPr>
                  <m:sty m:val="p"/>
                </m:rPr>
                <w:rPr>
                  <w:rFonts w:ascii="Cambria Math" w:hAnsi="Cambria Math"/>
                </w:rPr>
                <m:t>periodicity</m:t>
              </m:r>
              <m:ctrlPr>
                <w:rPr>
                  <w:rFonts w:ascii="Cambria Math" w:hAnsi="Cambria Math"/>
                  <w:i/>
                </w:rPr>
              </m:ctrlPr>
            </m:e>
            <m:sub>
              <m:r>
                <w:rPr>
                  <w:rFonts w:ascii="Cambria Math" w:hAnsi="Cambria Math"/>
                </w:rPr>
                <m:t>1</m:t>
              </m:r>
            </m:sub>
          </m:sSub>
          <m:r>
            <m:rPr>
              <m:sty m:val="p"/>
            </m:rPr>
            <w:rPr>
              <w:rFonts w:ascii="Cambria Math" w:hAnsi="Cambria Math" w:hint="eastAsia"/>
            </w:rPr>
            <m:t>，</m:t>
          </m:r>
          <m:r>
            <w:rPr>
              <w:rFonts w:ascii="Cambria Math" w:hAnsi="Cambria Math"/>
            </w:rPr>
            <m:t>k</m:t>
          </m:r>
          <m:r>
            <m:rPr>
              <m:scr m:val="double-struck"/>
            </m:rPr>
            <w:rPr>
              <w:rFonts w:ascii="Cambria Math" w:hAnsi="Cambria Math"/>
            </w:rPr>
            <m:t>∈N</m:t>
          </m:r>
        </m:oMath>
      </m:oMathPara>
    </w:p>
    <w:p w14:paraId="71C18C76" w14:textId="49EFA0EA" w:rsidR="009E0B2D" w:rsidRDefault="00F70BAF" w:rsidP="00D060ED">
      <w:pPr>
        <w:jc w:val="both"/>
      </w:pPr>
      <w:r>
        <w:rPr>
          <w:rFonts w:hint="eastAsia"/>
        </w:rPr>
        <w:t xml:space="preserve">and </w:t>
      </w:r>
      <w:r>
        <w:t>a slot i belongs to SMTC #2 if</w:t>
      </w:r>
    </w:p>
    <w:p w14:paraId="4CB2A0B7" w14:textId="5E6EA5E7" w:rsidR="00672DEA" w:rsidRPr="00672DEA" w:rsidRDefault="001F5961" w:rsidP="00672DEA">
      <w:pPr>
        <w:jc w:val="both"/>
      </w:pPr>
      <m:oMathPara>
        <m:oMath>
          <m:r>
            <w:rPr>
              <w:rFonts w:ascii="Cambria Math" w:hAnsi="Cambria Math"/>
            </w:rPr>
            <w:lastRenderedPageBreak/>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offset</m:t>
                  </m:r>
                </m:e>
                <m:sub>
                  <m:r>
                    <m:rPr>
                      <m:sty m:val="p"/>
                    </m:rPr>
                    <w:rPr>
                      <w:rFonts w:ascii="Cambria Math" w:hAnsi="Cambria Math"/>
                    </w:rPr>
                    <m:t>2</m:t>
                  </m:r>
                </m:sub>
              </m:sSub>
              <m:r>
                <w:rPr>
                  <w:rFonts w:ascii="Cambria Math" w:hAnsi="Cambria Math"/>
                </w:rPr>
                <m:t>,</m:t>
              </m:r>
              <m:sSub>
                <m:sSubPr>
                  <m:ctrlPr>
                    <w:rPr>
                      <w:rFonts w:ascii="Cambria Math" w:hAnsi="Cambria Math"/>
                    </w:rPr>
                  </m:ctrlPr>
                </m:sSubPr>
                <m:e>
                  <m:r>
                    <m:rPr>
                      <m:sty m:val="p"/>
                    </m:rPr>
                    <w:rPr>
                      <w:rFonts w:ascii="Cambria Math" w:hAnsi="Cambria Math"/>
                    </w:rPr>
                    <m:t>offset</m:t>
                  </m:r>
                </m:e>
                <m:sub>
                  <m:r>
                    <m:rPr>
                      <m:sty m:val="p"/>
                    </m:rPr>
                    <w:rPr>
                      <w:rFonts w:ascii="Cambria Math" w:hAnsi="Cambria Math"/>
                    </w:rPr>
                    <m:t>2</m:t>
                  </m:r>
                </m:sub>
              </m:sSub>
              <m:r>
                <w:rPr>
                  <w:rFonts w:ascii="Cambria Math" w:hAnsi="Cambria Math"/>
                </w:rPr>
                <m:t>+</m:t>
              </m:r>
              <m:sSub>
                <m:sSubPr>
                  <m:ctrlPr>
                    <w:rPr>
                      <w:rFonts w:ascii="Cambria Math" w:hAnsi="Cambria Math"/>
                    </w:rPr>
                  </m:ctrlPr>
                </m:sSubPr>
                <m:e>
                  <m:r>
                    <m:rPr>
                      <m:sty m:val="p"/>
                    </m:rPr>
                    <w:rPr>
                      <w:rFonts w:ascii="Cambria Math" w:hAnsi="Cambria Math"/>
                    </w:rPr>
                    <m:t>duration</m:t>
                  </m:r>
                </m:e>
                <m:sub>
                  <m:r>
                    <m:rPr>
                      <m:sty m:val="p"/>
                    </m:rPr>
                    <w:rPr>
                      <w:rFonts w:ascii="Cambria Math" w:hAnsi="Cambria Math"/>
                    </w:rPr>
                    <m:t>2</m:t>
                  </m:r>
                </m:sub>
              </m:sSub>
              <m:ctrlPr>
                <w:rPr>
                  <w:rFonts w:ascii="Cambria Math" w:hAnsi="Cambria Math"/>
                  <w:i/>
                </w:rPr>
              </m:ctrlPr>
            </m:e>
          </m:d>
          <m:r>
            <m:rPr>
              <m:sty m:val="p"/>
            </m:rPr>
            <w:rPr>
              <w:rFonts w:ascii="Cambria Math" w:hAnsi="Cambria Math"/>
            </w:rPr>
            <m:t>+</m:t>
          </m:r>
          <m:r>
            <w:rPr>
              <w:rFonts w:ascii="Cambria Math" w:hAnsi="Cambria Math"/>
            </w:rPr>
            <m:t>l∙</m:t>
          </m:r>
          <m:sSub>
            <m:sSubPr>
              <m:ctrlPr>
                <w:rPr>
                  <w:rFonts w:ascii="Cambria Math" w:hAnsi="Cambria Math"/>
                </w:rPr>
              </m:ctrlPr>
            </m:sSubPr>
            <m:e>
              <m:r>
                <m:rPr>
                  <m:sty m:val="p"/>
                </m:rPr>
                <w:rPr>
                  <w:rFonts w:ascii="Cambria Math" w:hAnsi="Cambria Math"/>
                </w:rPr>
                <m:t>periodicity</m:t>
              </m:r>
              <m:ctrlPr>
                <w:rPr>
                  <w:rFonts w:ascii="Cambria Math" w:hAnsi="Cambria Math"/>
                  <w:i/>
                </w:rPr>
              </m:ctrlPr>
            </m:e>
            <m:sub>
              <m:r>
                <w:rPr>
                  <w:rFonts w:ascii="Cambria Math" w:hAnsi="Cambria Math"/>
                </w:rPr>
                <m:t>2</m:t>
              </m:r>
            </m:sub>
          </m:sSub>
          <m:r>
            <m:rPr>
              <m:sty m:val="p"/>
            </m:rPr>
            <w:rPr>
              <w:rFonts w:ascii="Cambria Math" w:hAnsi="Cambria Math" w:hint="eastAsia"/>
            </w:rPr>
            <m:t>，</m:t>
          </m:r>
          <m:r>
            <w:rPr>
              <w:rFonts w:ascii="Cambria Math" w:hAnsi="Cambria Math"/>
            </w:rPr>
            <m:t>l</m:t>
          </m:r>
          <m:r>
            <m:rPr>
              <m:scr m:val="double-struck"/>
              <m:sty m:val="p"/>
            </m:rPr>
            <w:rPr>
              <w:rFonts w:ascii="Cambria Math" w:hAnsi="Cambria Math"/>
            </w:rPr>
            <m:t>∈N</m:t>
          </m:r>
        </m:oMath>
      </m:oMathPara>
    </w:p>
    <w:p w14:paraId="13379350" w14:textId="41EE48CF" w:rsidR="00672DEA" w:rsidRDefault="00F70BAF" w:rsidP="00D060ED">
      <w:pPr>
        <w:jc w:val="both"/>
      </w:pPr>
      <w:r>
        <w:t>In order to make SMTC #2 a subset of SMTC #1 the following conditions should be satisfied:</w:t>
      </w:r>
    </w:p>
    <w:p w14:paraId="1A8791B1" w14:textId="087E95B5" w:rsidR="00672DEA" w:rsidRPr="00672DEA" w:rsidRDefault="00AE76D5" w:rsidP="00D060ED">
      <w:pPr>
        <w:jc w:val="both"/>
      </w:pPr>
      <m:oMathPara>
        <m:oMath>
          <m:sSub>
            <m:sSubPr>
              <m:ctrlPr>
                <w:rPr>
                  <w:rFonts w:ascii="Cambria Math" w:hAnsi="Cambria Math"/>
                </w:rPr>
              </m:ctrlPr>
            </m:sSubPr>
            <m:e>
              <m:r>
                <m:rPr>
                  <m:sty m:val="p"/>
                </m:rPr>
                <w:rPr>
                  <w:rFonts w:ascii="Cambria Math" w:hAnsi="Cambria Math"/>
                </w:rPr>
                <m:t>periodicity</m:t>
              </m:r>
              <m:ctrlPr>
                <w:rPr>
                  <w:rFonts w:ascii="Cambria Math" w:hAnsi="Cambria Math"/>
                  <w:i/>
                </w:rPr>
              </m:ctrlP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periodicity</m:t>
              </m:r>
              <m:ctrlPr>
                <w:rPr>
                  <w:rFonts w:ascii="Cambria Math" w:hAnsi="Cambria Math"/>
                  <w:i/>
                </w:rPr>
              </m:ctrlPr>
            </m:e>
            <m:sub>
              <m:r>
                <w:rPr>
                  <w:rFonts w:ascii="Cambria Math" w:hAnsi="Cambria Math"/>
                </w:rPr>
                <m:t>2</m:t>
              </m:r>
            </m:sub>
          </m:sSub>
        </m:oMath>
      </m:oMathPara>
    </w:p>
    <w:p w14:paraId="7B42066F" w14:textId="518069C8" w:rsidR="00672DEA" w:rsidRPr="005D78C0" w:rsidRDefault="00AE76D5" w:rsidP="00D060ED">
      <w:pPr>
        <w:jc w:val="both"/>
      </w:pPr>
      <m:oMathPara>
        <m:oMath>
          <m:sSub>
            <m:sSubPr>
              <m:ctrlPr>
                <w:rPr>
                  <w:rFonts w:ascii="Cambria Math" w:hAnsi="Cambria Math"/>
                </w:rPr>
              </m:ctrlPr>
            </m:sSubPr>
            <m:e>
              <m:r>
                <m:rPr>
                  <m:sty m:val="p"/>
                </m:rPr>
                <w:rPr>
                  <w:rFonts w:ascii="Cambria Math" w:hAnsi="Cambria Math"/>
                </w:rPr>
                <m:t>duration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duration</m:t>
              </m:r>
            </m:e>
            <m:sub>
              <m:r>
                <m:rPr>
                  <m:sty m:val="p"/>
                </m:rPr>
                <w:rPr>
                  <w:rFonts w:ascii="Cambria Math" w:hAnsi="Cambria Math"/>
                </w:rPr>
                <m:t>2</m:t>
              </m:r>
            </m:sub>
          </m:sSub>
        </m:oMath>
      </m:oMathPara>
    </w:p>
    <w:p w14:paraId="03D7B3A1" w14:textId="0627AF2A" w:rsidR="00672DEA" w:rsidRPr="005D78C0" w:rsidRDefault="00AE76D5" w:rsidP="00D060ED">
      <w:pPr>
        <w:jc w:val="both"/>
      </w:pPr>
      <m:oMathPara>
        <m:oMath>
          <m:sSub>
            <m:sSubPr>
              <m:ctrlPr>
                <w:rPr>
                  <w:rFonts w:ascii="Cambria Math" w:hAnsi="Cambria Math"/>
                  <w:i/>
                </w:rPr>
              </m:ctrlPr>
            </m:sSubPr>
            <m:e>
              <m:r>
                <m:rPr>
                  <m:sty m:val="p"/>
                </m:rPr>
                <w:rPr>
                  <w:rFonts w:ascii="Cambria Math" w:hAnsi="Cambria Math"/>
                </w:rPr>
                <m:t>offset</m:t>
              </m:r>
            </m:e>
            <m:sub>
              <m:r>
                <w:rPr>
                  <w:rFonts w:ascii="Cambria Math" w:hAnsi="Cambria Math"/>
                </w:rPr>
                <m:t>2</m:t>
              </m:r>
            </m:sub>
          </m:sSub>
          <m:r>
            <m:rPr>
              <m:sty m:val="p"/>
            </m:rPr>
            <w:rPr>
              <w:rFonts w:ascii="Cambria Math" w:hAnsi="Cambria Math"/>
            </w:rPr>
            <m:t>∈</m:t>
          </m:r>
          <m:d>
            <m:dPr>
              <m:ctrlPr>
                <w:rPr>
                  <w:rFonts w:ascii="Cambria Math" w:hAnsi="Cambria Math"/>
                </w:rPr>
              </m:ctrlPr>
            </m:dPr>
            <m:e>
              <m:r>
                <m:rPr>
                  <m:sty m:val="p"/>
                </m:rPr>
                <w:rPr>
                  <w:rFonts w:ascii="Cambria Math" w:hAnsi="Cambria Math"/>
                </w:rPr>
                <m:t>offse</m:t>
              </m:r>
              <m:sSub>
                <m:sSubPr>
                  <m:ctrlPr>
                    <w:rPr>
                      <w:rFonts w:ascii="Cambria Math" w:hAnsi="Cambria Math"/>
                      <w:i/>
                    </w:rPr>
                  </m:ctrlPr>
                </m:sSubPr>
                <m:e>
                  <m:r>
                    <m:rPr>
                      <m:sty m:val="p"/>
                    </m:rPr>
                    <w:rPr>
                      <w:rFonts w:ascii="Cambria Math" w:hAnsi="Cambria Math"/>
                    </w:rPr>
                    <m:t>t</m:t>
                  </m:r>
                </m:e>
                <m:sub>
                  <m:r>
                    <w:rPr>
                      <w:rFonts w:ascii="Cambria Math" w:hAnsi="Cambria Math"/>
                    </w:rPr>
                    <m:t>1</m:t>
                  </m:r>
                </m:sub>
              </m:sSub>
              <m:r>
                <w:rPr>
                  <w:rFonts w:ascii="Cambria Math" w:hAnsi="Cambria Math"/>
                </w:rPr>
                <m:t>+k∙</m:t>
              </m:r>
              <m:sSub>
                <m:sSubPr>
                  <m:ctrlPr>
                    <w:rPr>
                      <w:rFonts w:ascii="Cambria Math" w:hAnsi="Cambria Math"/>
                    </w:rPr>
                  </m:ctrlPr>
                </m:sSubPr>
                <m:e>
                  <m:r>
                    <m:rPr>
                      <m:sty m:val="p"/>
                    </m:rPr>
                    <w:rPr>
                      <w:rFonts w:ascii="Cambria Math" w:hAnsi="Cambria Math"/>
                    </w:rPr>
                    <m:t>periodicity</m:t>
                  </m:r>
                  <m:ctrlPr>
                    <w:rPr>
                      <w:rFonts w:ascii="Cambria Math" w:hAnsi="Cambria Math"/>
                      <w:i/>
                    </w:rPr>
                  </m:ctrlPr>
                </m:e>
                <m:sub>
                  <m:r>
                    <w:rPr>
                      <w:rFonts w:ascii="Cambria Math" w:hAnsi="Cambria Math"/>
                    </w:rPr>
                    <m:t>1</m:t>
                  </m:r>
                </m:sub>
              </m:sSub>
              <m:r>
                <w:rPr>
                  <w:rFonts w:ascii="Cambria Math" w:hAnsi="Cambria Math"/>
                </w:rPr>
                <m:t>+</m:t>
              </m:r>
              <m:d>
                <m:dPr>
                  <m:begChr m:val="["/>
                  <m:endChr m:val="]"/>
                  <m:ctrlPr>
                    <w:rPr>
                      <w:rFonts w:ascii="Cambria Math" w:hAnsi="Cambria Math"/>
                    </w:rPr>
                  </m:ctrlPr>
                </m:dPr>
                <m:e>
                  <m:r>
                    <w:rPr>
                      <w:rFonts w:ascii="Cambria Math" w:hAnsi="Cambria Math"/>
                    </w:rPr>
                    <m:t>0</m:t>
                  </m:r>
                  <m:r>
                    <m:rPr>
                      <m:sty m:val="p"/>
                    </m:rPr>
                    <w:rPr>
                      <w:rFonts w:ascii="Cambria Math" w:hAnsi="Cambria Math" w:hint="eastAsia"/>
                    </w:rPr>
                    <m:t>,</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duration</m:t>
                      </m:r>
                    </m:e>
                    <m:sub>
                      <m:r>
                        <m:rPr>
                          <m:sty m:val="p"/>
                        </m:rPr>
                        <w:rPr>
                          <w:rFonts w:ascii="Cambria Math" w:hAnsi="Cambria Math"/>
                        </w:rPr>
                        <m:t>1</m:t>
                      </m:r>
                    </m:sub>
                  </m:sSub>
                  <m:r>
                    <w:rPr>
                      <w:rFonts w:ascii="Cambria Math" w:hAnsi="Cambria Math"/>
                    </w:rPr>
                    <m:t>-</m:t>
                  </m:r>
                  <m:sSub>
                    <m:sSubPr>
                      <m:ctrlPr>
                        <w:rPr>
                          <w:rFonts w:ascii="Cambria Math" w:hAnsi="Cambria Math"/>
                          <w:i/>
                        </w:rPr>
                      </m:ctrlPr>
                    </m:sSubPr>
                    <m:e>
                      <m:r>
                        <m:rPr>
                          <m:sty m:val="p"/>
                        </m:rPr>
                        <w:rPr>
                          <w:rFonts w:ascii="Cambria Math" w:hAnsi="Cambria Math"/>
                        </w:rPr>
                        <m:t>duration</m:t>
                      </m:r>
                    </m:e>
                    <m:sub>
                      <m:r>
                        <w:rPr>
                          <w:rFonts w:ascii="Cambria Math" w:hAnsi="Cambria Math"/>
                        </w:rPr>
                        <m:t>2</m:t>
                      </m:r>
                    </m:sub>
                  </m:sSub>
                </m:e>
              </m:d>
            </m:e>
          </m:d>
          <m:r>
            <m:rPr>
              <m:sty m:val="p"/>
            </m:rPr>
            <w:rPr>
              <w:rFonts w:ascii="Cambria Math" w:hAnsi="Cambria Math"/>
            </w:rPr>
            <m:t xml:space="preserve"> mod </m:t>
          </m:r>
          <m:sSub>
            <m:sSubPr>
              <m:ctrlPr>
                <w:rPr>
                  <w:rFonts w:ascii="Cambria Math" w:hAnsi="Cambria Math"/>
                </w:rPr>
              </m:ctrlPr>
            </m:sSubPr>
            <m:e>
              <m:r>
                <m:rPr>
                  <m:sty m:val="p"/>
                </m:rPr>
                <w:rPr>
                  <w:rFonts w:ascii="Cambria Math" w:hAnsi="Cambria Math"/>
                </w:rPr>
                <m:t>periodicity</m:t>
              </m:r>
            </m:e>
            <m:sub>
              <m:r>
                <m:rPr>
                  <m:sty m:val="p"/>
                </m:rPr>
                <w:rPr>
                  <w:rFonts w:ascii="Cambria Math" w:hAnsi="Cambria Math"/>
                </w:rPr>
                <m:t>2</m:t>
              </m:r>
            </m:sub>
          </m:sSub>
        </m:oMath>
      </m:oMathPara>
    </w:p>
    <w:p w14:paraId="5C16E0EA" w14:textId="7BFEDB9B" w:rsidR="005D78C0" w:rsidRDefault="005D78C0" w:rsidP="00D060ED">
      <w:pPr>
        <w:jc w:val="both"/>
      </w:pPr>
      <w:r>
        <w:rPr>
          <w:rFonts w:hint="eastAsia"/>
        </w:rPr>
        <w:t xml:space="preserve">where </w:t>
      </w:r>
      <m:oMath>
        <m:r>
          <w:rPr>
            <w:rFonts w:ascii="Cambria Math" w:hAnsi="Cambria Math"/>
          </w:rPr>
          <m:t>k</m:t>
        </m:r>
      </m:oMath>
      <w:r w:rsidR="00FC27F7">
        <w:t xml:space="preserve"> is</w:t>
      </w:r>
      <w:r w:rsidR="00DA64E8">
        <w:t xml:space="preserve"> integer.</w:t>
      </w:r>
    </w:p>
    <w:p w14:paraId="1EF3996D" w14:textId="58B55BBD" w:rsidR="005D78C0" w:rsidRDefault="007840F1" w:rsidP="00D060ED">
      <w:pPr>
        <w:jc w:val="both"/>
      </w:pPr>
      <w:r>
        <w:object w:dxaOrig="25215" w:dyaOrig="12195" w14:anchorId="337F9CBF">
          <v:shape id="_x0000_i1027" type="#_x0000_t75" style="width:415pt;height:200.5pt" o:ole="">
            <v:imagedata r:id="rId12" o:title=""/>
          </v:shape>
          <o:OLEObject Type="Embed" ProgID="Visio.Drawing.15" ShapeID="_x0000_i1027" DrawAspect="Content" ObjectID="_1595439624" r:id="rId13"/>
        </w:object>
      </w:r>
    </w:p>
    <w:p w14:paraId="359FB0B5" w14:textId="19655F6B" w:rsidR="001F5961" w:rsidRPr="00DA64E8" w:rsidRDefault="001F5961" w:rsidP="001F5961">
      <w:pPr>
        <w:jc w:val="center"/>
        <w:rPr>
          <w:b/>
          <w:sz w:val="18"/>
        </w:rPr>
      </w:pPr>
      <w:r w:rsidRPr="00DA64E8">
        <w:rPr>
          <w:b/>
          <w:sz w:val="18"/>
        </w:rPr>
        <w:t xml:space="preserve">Fig.3 </w:t>
      </w:r>
      <w:r w:rsidR="00DA64E8">
        <w:rPr>
          <w:b/>
          <w:sz w:val="18"/>
        </w:rPr>
        <w:t>D</w:t>
      </w:r>
      <w:r w:rsidR="00DA64E8" w:rsidRPr="00DA64E8">
        <w:rPr>
          <w:b/>
          <w:sz w:val="18"/>
        </w:rPr>
        <w:t>emonstration of merging conditions</w:t>
      </w:r>
    </w:p>
    <w:p w14:paraId="2CF9FB2F" w14:textId="1364DE31" w:rsidR="001F5961" w:rsidRDefault="00DA64E8" w:rsidP="00D060ED">
      <w:pPr>
        <w:jc w:val="both"/>
      </w:pPr>
      <w:r>
        <w:rPr>
          <w:rFonts w:hint="eastAsia"/>
        </w:rPr>
        <w:t xml:space="preserve">Fig.3 is </w:t>
      </w:r>
      <w:r w:rsidR="00BE08D9">
        <w:t xml:space="preserve">an example used to </w:t>
      </w:r>
      <w:r w:rsidR="00B40EA0">
        <w:t>demonstrate</w:t>
      </w:r>
      <w:r w:rsidR="00BE08D9">
        <w:t xml:space="preserve"> above conditions</w:t>
      </w:r>
      <w:r>
        <w:rPr>
          <w:rFonts w:hint="eastAsia"/>
        </w:rPr>
        <w:t>.</w:t>
      </w:r>
      <w:r w:rsidR="00BE08D9">
        <w:t xml:space="preserve"> Assume a case there are four different SMTC configurations:</w:t>
      </w:r>
    </w:p>
    <w:p w14:paraId="1CF381BE" w14:textId="77777777" w:rsidR="00BE08D9" w:rsidRDefault="00BE08D9" w:rsidP="00D060ED">
      <w:pPr>
        <w:jc w:val="both"/>
      </w:pPr>
      <w:r>
        <w:t>SMTC #1: 5ms duration, 40ms periodicity, 20ms offset;</w:t>
      </w:r>
    </w:p>
    <w:p w14:paraId="6BCC86B2" w14:textId="61859E36" w:rsidR="00BE08D9" w:rsidRDefault="00BE08D9" w:rsidP="00D060ED">
      <w:pPr>
        <w:jc w:val="both"/>
      </w:pPr>
      <w:r>
        <w:t>SMTC #2: 3ms duration, 80ms periodicity, 20ms offset;</w:t>
      </w:r>
    </w:p>
    <w:p w14:paraId="486839FE" w14:textId="5C05C7F2" w:rsidR="00BE08D9" w:rsidRDefault="00BE08D9" w:rsidP="00D060ED">
      <w:pPr>
        <w:jc w:val="both"/>
      </w:pPr>
      <w:r>
        <w:t>SMTC #3: 3ms duration, 80ms periodicity, 60ms offset;</w:t>
      </w:r>
    </w:p>
    <w:p w14:paraId="7B6B3CBB" w14:textId="44420018" w:rsidR="00BE08D9" w:rsidRDefault="00BE08D9" w:rsidP="00D060ED">
      <w:pPr>
        <w:jc w:val="both"/>
      </w:pPr>
      <w:r>
        <w:t>SMTC #4: 3ms duration, 160ms periodicity, 22ms offset.</w:t>
      </w:r>
    </w:p>
    <w:p w14:paraId="64D46C0C" w14:textId="0F2CCE69" w:rsidR="00BE08D9" w:rsidRPr="00DA64E8" w:rsidRDefault="007840F1" w:rsidP="00D060ED">
      <w:pPr>
        <w:jc w:val="both"/>
      </w:pPr>
      <w:r>
        <w:rPr>
          <w:rFonts w:hint="eastAsia"/>
        </w:rPr>
        <w:t xml:space="preserve">It is straightforward to observe that </w:t>
      </w:r>
      <w:r>
        <w:t xml:space="preserve">SMTC #2 ~ #4 are the </w:t>
      </w:r>
      <w:r w:rsidR="0035630B">
        <w:t>subsets of SMTC #1. So UE can treat any one among SMTC #2 ~ #4 and SMTC #1 as one if they are configured by PCell and PSCell respectively.</w:t>
      </w:r>
      <w:r>
        <w:t xml:space="preserve"> </w:t>
      </w:r>
    </w:p>
    <w:p w14:paraId="7617695C" w14:textId="6DF60BA9" w:rsidR="00F70BAF" w:rsidRPr="00F70BAF" w:rsidRDefault="00F70BAF" w:rsidP="00D060ED">
      <w:pPr>
        <w:jc w:val="both"/>
        <w:rPr>
          <w:b/>
          <w:i/>
        </w:rPr>
      </w:pPr>
      <w:r w:rsidRPr="00F70BAF">
        <w:rPr>
          <w:b/>
          <w:i/>
        </w:rPr>
        <w:t>P</w:t>
      </w:r>
      <w:r w:rsidRPr="00F70BAF">
        <w:rPr>
          <w:rFonts w:hint="eastAsia"/>
          <w:b/>
          <w:i/>
        </w:rPr>
        <w:t xml:space="preserve">roposal </w:t>
      </w:r>
      <w:r w:rsidRPr="00F70BAF">
        <w:rPr>
          <w:b/>
          <w:i/>
        </w:rPr>
        <w:t xml:space="preserve">2: </w:t>
      </w:r>
      <w:r w:rsidRPr="00F70BAF">
        <w:rPr>
          <w:rFonts w:hint="eastAsia"/>
          <w:b/>
          <w:i/>
        </w:rPr>
        <w:t xml:space="preserve">For sync EN-DC case, </w:t>
      </w:r>
      <w:r w:rsidRPr="00F70BAF">
        <w:rPr>
          <w:b/>
          <w:i/>
        </w:rPr>
        <w:t>the MOs configured for the same carrier frequency by MN and SN can not be considered as one if the SMTC of one MO is not a subset of the SMTC of the other MO. To be more specific, the MOs configured for the same carrier frequency by MN and SN can not be considered as one if the following conditions are not satisfied</w:t>
      </w:r>
      <w:r w:rsidRPr="00F70BAF">
        <w:rPr>
          <w:rFonts w:hint="eastAsia"/>
          <w:b/>
          <w:i/>
        </w:rPr>
        <w:t>:</w:t>
      </w:r>
    </w:p>
    <w:p w14:paraId="64A28462" w14:textId="77777777" w:rsidR="002E4BFB" w:rsidRPr="00672DEA" w:rsidRDefault="00AE76D5" w:rsidP="002E4BFB">
      <w:pPr>
        <w:jc w:val="both"/>
      </w:pPr>
      <m:oMathPara>
        <m:oMath>
          <m:sSub>
            <m:sSubPr>
              <m:ctrlPr>
                <w:rPr>
                  <w:rFonts w:ascii="Cambria Math" w:hAnsi="Cambria Math"/>
                </w:rPr>
              </m:ctrlPr>
            </m:sSubPr>
            <m:e>
              <m:r>
                <m:rPr>
                  <m:sty m:val="p"/>
                </m:rPr>
                <w:rPr>
                  <w:rFonts w:ascii="Cambria Math" w:hAnsi="Cambria Math"/>
                </w:rPr>
                <m:t>periodicity</m:t>
              </m:r>
              <m:ctrlPr>
                <w:rPr>
                  <w:rFonts w:ascii="Cambria Math" w:hAnsi="Cambria Math"/>
                  <w:i/>
                </w:rPr>
              </m:ctrlP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periodicity</m:t>
              </m:r>
              <m:ctrlPr>
                <w:rPr>
                  <w:rFonts w:ascii="Cambria Math" w:hAnsi="Cambria Math"/>
                  <w:i/>
                </w:rPr>
              </m:ctrlPr>
            </m:e>
            <m:sub>
              <m:r>
                <w:rPr>
                  <w:rFonts w:ascii="Cambria Math" w:hAnsi="Cambria Math"/>
                </w:rPr>
                <m:t>2</m:t>
              </m:r>
            </m:sub>
          </m:sSub>
        </m:oMath>
      </m:oMathPara>
    </w:p>
    <w:p w14:paraId="49BD88C1" w14:textId="31A561AF" w:rsidR="002E4BFB" w:rsidRPr="00FC27F7" w:rsidRDefault="00AE76D5" w:rsidP="002E4BFB">
      <w:pPr>
        <w:jc w:val="both"/>
      </w:pPr>
      <m:oMathPara>
        <m:oMath>
          <m:sSub>
            <m:sSubPr>
              <m:ctrlPr>
                <w:rPr>
                  <w:rFonts w:ascii="Cambria Math" w:hAnsi="Cambria Math"/>
                </w:rPr>
              </m:ctrlPr>
            </m:sSubPr>
            <m:e>
              <m:r>
                <m:rPr>
                  <m:sty m:val="p"/>
                </m:rPr>
                <w:rPr>
                  <w:rFonts w:ascii="Cambria Math" w:hAnsi="Cambria Math"/>
                </w:rPr>
                <m:t>duration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duration</m:t>
              </m:r>
            </m:e>
            <m:sub>
              <m:r>
                <m:rPr>
                  <m:sty m:val="p"/>
                </m:rPr>
                <w:rPr>
                  <w:rFonts w:ascii="Cambria Math" w:hAnsi="Cambria Math"/>
                </w:rPr>
                <m:t>2</m:t>
              </m:r>
            </m:sub>
          </m:sSub>
        </m:oMath>
      </m:oMathPara>
    </w:p>
    <w:p w14:paraId="11D14111" w14:textId="77777777" w:rsidR="00FC27F7" w:rsidRPr="005D78C0" w:rsidRDefault="00AE76D5" w:rsidP="00FC27F7">
      <w:pPr>
        <w:jc w:val="both"/>
      </w:pPr>
      <m:oMathPara>
        <m:oMath>
          <m:sSub>
            <m:sSubPr>
              <m:ctrlPr>
                <w:rPr>
                  <w:rFonts w:ascii="Cambria Math" w:hAnsi="Cambria Math"/>
                  <w:i/>
                </w:rPr>
              </m:ctrlPr>
            </m:sSubPr>
            <m:e>
              <m:r>
                <m:rPr>
                  <m:sty m:val="p"/>
                </m:rPr>
                <w:rPr>
                  <w:rFonts w:ascii="Cambria Math" w:hAnsi="Cambria Math"/>
                </w:rPr>
                <m:t>offset</m:t>
              </m:r>
            </m:e>
            <m:sub>
              <m:r>
                <w:rPr>
                  <w:rFonts w:ascii="Cambria Math" w:hAnsi="Cambria Math"/>
                </w:rPr>
                <m:t>2</m:t>
              </m:r>
            </m:sub>
          </m:sSub>
          <m:r>
            <m:rPr>
              <m:sty m:val="p"/>
            </m:rPr>
            <w:rPr>
              <w:rFonts w:ascii="Cambria Math" w:hAnsi="Cambria Math"/>
            </w:rPr>
            <m:t>∈</m:t>
          </m:r>
          <m:d>
            <m:dPr>
              <m:ctrlPr>
                <w:rPr>
                  <w:rFonts w:ascii="Cambria Math" w:hAnsi="Cambria Math"/>
                </w:rPr>
              </m:ctrlPr>
            </m:dPr>
            <m:e>
              <m:r>
                <m:rPr>
                  <m:sty m:val="p"/>
                </m:rPr>
                <w:rPr>
                  <w:rFonts w:ascii="Cambria Math" w:hAnsi="Cambria Math"/>
                </w:rPr>
                <m:t>offse</m:t>
              </m:r>
              <m:sSub>
                <m:sSubPr>
                  <m:ctrlPr>
                    <w:rPr>
                      <w:rFonts w:ascii="Cambria Math" w:hAnsi="Cambria Math"/>
                      <w:i/>
                    </w:rPr>
                  </m:ctrlPr>
                </m:sSubPr>
                <m:e>
                  <m:r>
                    <m:rPr>
                      <m:sty m:val="p"/>
                    </m:rPr>
                    <w:rPr>
                      <w:rFonts w:ascii="Cambria Math" w:hAnsi="Cambria Math"/>
                    </w:rPr>
                    <m:t>t</m:t>
                  </m:r>
                </m:e>
                <m:sub>
                  <m:r>
                    <w:rPr>
                      <w:rFonts w:ascii="Cambria Math" w:hAnsi="Cambria Math"/>
                    </w:rPr>
                    <m:t>1</m:t>
                  </m:r>
                </m:sub>
              </m:sSub>
              <m:r>
                <w:rPr>
                  <w:rFonts w:ascii="Cambria Math" w:hAnsi="Cambria Math"/>
                </w:rPr>
                <m:t>+k∙</m:t>
              </m:r>
              <m:sSub>
                <m:sSubPr>
                  <m:ctrlPr>
                    <w:rPr>
                      <w:rFonts w:ascii="Cambria Math" w:hAnsi="Cambria Math"/>
                    </w:rPr>
                  </m:ctrlPr>
                </m:sSubPr>
                <m:e>
                  <m:r>
                    <m:rPr>
                      <m:sty m:val="p"/>
                    </m:rPr>
                    <w:rPr>
                      <w:rFonts w:ascii="Cambria Math" w:hAnsi="Cambria Math"/>
                    </w:rPr>
                    <m:t>periodicity</m:t>
                  </m:r>
                  <m:ctrlPr>
                    <w:rPr>
                      <w:rFonts w:ascii="Cambria Math" w:hAnsi="Cambria Math"/>
                      <w:i/>
                    </w:rPr>
                  </m:ctrlPr>
                </m:e>
                <m:sub>
                  <m:r>
                    <w:rPr>
                      <w:rFonts w:ascii="Cambria Math" w:hAnsi="Cambria Math"/>
                    </w:rPr>
                    <m:t>1</m:t>
                  </m:r>
                </m:sub>
              </m:sSub>
              <m:r>
                <w:rPr>
                  <w:rFonts w:ascii="Cambria Math" w:hAnsi="Cambria Math"/>
                </w:rPr>
                <m:t>+</m:t>
              </m:r>
              <m:d>
                <m:dPr>
                  <m:begChr m:val="["/>
                  <m:endChr m:val="]"/>
                  <m:ctrlPr>
                    <w:rPr>
                      <w:rFonts w:ascii="Cambria Math" w:hAnsi="Cambria Math"/>
                    </w:rPr>
                  </m:ctrlPr>
                </m:dPr>
                <m:e>
                  <m:r>
                    <w:rPr>
                      <w:rFonts w:ascii="Cambria Math" w:hAnsi="Cambria Math"/>
                    </w:rPr>
                    <m:t>0</m:t>
                  </m:r>
                  <m:r>
                    <m:rPr>
                      <m:sty m:val="p"/>
                    </m:rPr>
                    <w:rPr>
                      <w:rFonts w:ascii="Cambria Math" w:hAnsi="Cambria Math" w:hint="eastAsia"/>
                    </w:rPr>
                    <m:t>,</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duration</m:t>
                      </m:r>
                    </m:e>
                    <m:sub>
                      <m:r>
                        <m:rPr>
                          <m:sty m:val="p"/>
                        </m:rPr>
                        <w:rPr>
                          <w:rFonts w:ascii="Cambria Math" w:hAnsi="Cambria Math"/>
                        </w:rPr>
                        <m:t>1</m:t>
                      </m:r>
                    </m:sub>
                  </m:sSub>
                  <m:r>
                    <w:rPr>
                      <w:rFonts w:ascii="Cambria Math" w:hAnsi="Cambria Math"/>
                    </w:rPr>
                    <m:t>-</m:t>
                  </m:r>
                  <m:sSub>
                    <m:sSubPr>
                      <m:ctrlPr>
                        <w:rPr>
                          <w:rFonts w:ascii="Cambria Math" w:hAnsi="Cambria Math"/>
                          <w:i/>
                        </w:rPr>
                      </m:ctrlPr>
                    </m:sSubPr>
                    <m:e>
                      <m:r>
                        <m:rPr>
                          <m:sty m:val="p"/>
                        </m:rPr>
                        <w:rPr>
                          <w:rFonts w:ascii="Cambria Math" w:hAnsi="Cambria Math"/>
                        </w:rPr>
                        <m:t>duration</m:t>
                      </m:r>
                    </m:e>
                    <m:sub>
                      <m:r>
                        <w:rPr>
                          <w:rFonts w:ascii="Cambria Math" w:hAnsi="Cambria Math"/>
                        </w:rPr>
                        <m:t>2</m:t>
                      </m:r>
                    </m:sub>
                  </m:sSub>
                </m:e>
              </m:d>
            </m:e>
          </m:d>
          <m:r>
            <m:rPr>
              <m:sty m:val="p"/>
            </m:rPr>
            <w:rPr>
              <w:rFonts w:ascii="Cambria Math" w:hAnsi="Cambria Math"/>
            </w:rPr>
            <m:t xml:space="preserve"> mod </m:t>
          </m:r>
          <m:sSub>
            <m:sSubPr>
              <m:ctrlPr>
                <w:rPr>
                  <w:rFonts w:ascii="Cambria Math" w:hAnsi="Cambria Math"/>
                </w:rPr>
              </m:ctrlPr>
            </m:sSubPr>
            <m:e>
              <m:r>
                <m:rPr>
                  <m:sty m:val="p"/>
                </m:rPr>
                <w:rPr>
                  <w:rFonts w:ascii="Cambria Math" w:hAnsi="Cambria Math"/>
                </w:rPr>
                <m:t>periodicity</m:t>
              </m:r>
            </m:e>
            <m:sub>
              <m:r>
                <m:rPr>
                  <m:sty m:val="p"/>
                </m:rPr>
                <w:rPr>
                  <w:rFonts w:ascii="Cambria Math" w:hAnsi="Cambria Math"/>
                </w:rPr>
                <m:t>2</m:t>
              </m:r>
            </m:sub>
          </m:sSub>
        </m:oMath>
      </m:oMathPara>
    </w:p>
    <w:p w14:paraId="54CF376A" w14:textId="70D89B5E" w:rsidR="00A4635D" w:rsidRPr="00FC27F7" w:rsidRDefault="00F70BAF" w:rsidP="00D674CD">
      <w:pPr>
        <w:jc w:val="both"/>
        <w:rPr>
          <w:b/>
          <w:i/>
        </w:rPr>
      </w:pPr>
      <w:r w:rsidRPr="00F70BAF">
        <w:rPr>
          <w:b/>
          <w:i/>
        </w:rPr>
        <w:lastRenderedPageBreak/>
        <w:t>W</w:t>
      </w:r>
      <w:r w:rsidRPr="00F70BAF">
        <w:rPr>
          <w:rFonts w:hint="eastAsia"/>
          <w:b/>
          <w:i/>
        </w:rPr>
        <w:t xml:space="preserve">here </w:t>
      </w:r>
      <m:oMath>
        <m:sSub>
          <m:sSubPr>
            <m:ctrlPr>
              <w:rPr>
                <w:rFonts w:ascii="Cambria Math" w:hAnsi="Cambria Math"/>
              </w:rPr>
            </m:ctrlPr>
          </m:sSubPr>
          <m:e>
            <m:r>
              <m:rPr>
                <m:sty m:val="p"/>
              </m:rPr>
              <w:rPr>
                <w:rFonts w:ascii="Cambria Math" w:hAnsi="Cambria Math"/>
              </w:rPr>
              <m:t>periodicity</m:t>
            </m:r>
          </m:e>
          <m:sub>
            <m:r>
              <m:rPr>
                <m:sty m:val="p"/>
              </m:rPr>
              <w:rPr>
                <w:rFonts w:ascii="Cambria Math" w:hAnsi="Cambria Math"/>
              </w:rPr>
              <m:t>1</m:t>
            </m:r>
          </m:sub>
        </m:sSub>
      </m:oMath>
      <w:r w:rsidRPr="00F70BAF">
        <w:rPr>
          <w:b/>
          <w:i/>
        </w:rPr>
        <w:t xml:space="preserve">, </w:t>
      </w:r>
      <m:oMath>
        <m:sSub>
          <m:sSubPr>
            <m:ctrlPr>
              <w:rPr>
                <w:rFonts w:ascii="Cambria Math" w:hAnsi="Cambria Math"/>
              </w:rPr>
            </m:ctrlPr>
          </m:sSubPr>
          <m:e>
            <m:r>
              <m:rPr>
                <m:sty m:val="p"/>
              </m:rPr>
              <w:rPr>
                <w:rFonts w:ascii="Cambria Math" w:hAnsi="Cambria Math"/>
              </w:rPr>
              <m:t>duration</m:t>
            </m:r>
          </m:e>
          <m:sub>
            <m:r>
              <m:rPr>
                <m:sty m:val="p"/>
              </m:rPr>
              <w:rPr>
                <w:rFonts w:ascii="Cambria Math" w:hAnsi="Cambria Math"/>
              </w:rPr>
              <m:t>1</m:t>
            </m:r>
          </m:sub>
        </m:sSub>
      </m:oMath>
      <w:r w:rsidRPr="00F70BAF">
        <w:rPr>
          <w:b/>
          <w:i/>
        </w:rPr>
        <w:t xml:space="preserve"> and </w:t>
      </w:r>
      <m:oMath>
        <m:r>
          <m:rPr>
            <m:sty m:val="p"/>
          </m:rPr>
          <w:rPr>
            <w:rFonts w:ascii="Cambria Math" w:hAnsi="Cambria Math"/>
          </w:rPr>
          <m:t>offse</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oMath>
      <w:r w:rsidRPr="00F70BAF">
        <w:rPr>
          <w:rFonts w:hint="eastAsia"/>
          <w:b/>
          <w:i/>
        </w:rPr>
        <w:t xml:space="preserve"> is the periodicity, duration and offset of the SMTC with</w:t>
      </w:r>
      <w:r w:rsidR="005D78C0">
        <w:rPr>
          <w:rFonts w:hint="eastAsia"/>
          <w:b/>
          <w:i/>
        </w:rPr>
        <w:t xml:space="preserve"> smaller periodicity, </w:t>
      </w:r>
      <m:oMath>
        <m:r>
          <w:rPr>
            <w:rFonts w:ascii="Cambria Math" w:hAnsi="Cambria Math"/>
          </w:rPr>
          <m:t>k</m:t>
        </m:r>
      </m:oMath>
      <w:r w:rsidR="00FC27F7">
        <w:t xml:space="preserve"> is integer</w:t>
      </w:r>
      <w:r w:rsidR="005D78C0">
        <w:rPr>
          <w:i/>
        </w:rPr>
        <w:t>.</w:t>
      </w:r>
    </w:p>
    <w:p w14:paraId="7A533A9F" w14:textId="77777777" w:rsidR="0097202C" w:rsidRPr="00C560A6" w:rsidRDefault="0097202C" w:rsidP="0097202C">
      <w:pPr>
        <w:pStyle w:val="1"/>
        <w:jc w:val="both"/>
        <w:rPr>
          <w:rFonts w:ascii="Arial" w:hAnsi="Arial" w:cs="Arial"/>
          <w:lang w:val="en-US"/>
        </w:rPr>
      </w:pPr>
      <w:r>
        <w:rPr>
          <w:rFonts w:ascii="Arial" w:hAnsi="Arial" w:cs="Arial"/>
          <w:lang w:val="en-US"/>
        </w:rPr>
        <w:t>Conclusion</w:t>
      </w:r>
    </w:p>
    <w:p w14:paraId="411D90F9" w14:textId="5FEB5428" w:rsidR="00746E62" w:rsidRDefault="0053142D" w:rsidP="00746E62">
      <w:pPr>
        <w:jc w:val="both"/>
      </w:pPr>
      <w:r>
        <w:t xml:space="preserve">In this contribution some remain issues on </w:t>
      </w:r>
      <w:r w:rsidR="00F70BAF">
        <w:t>MO merging</w:t>
      </w:r>
      <w:r w:rsidR="00813E54" w:rsidRPr="00813E54">
        <w:t xml:space="preserve"> </w:t>
      </w:r>
      <w:r>
        <w:t xml:space="preserve">are discussed. </w:t>
      </w:r>
      <w:r w:rsidR="00CE0183">
        <w:t xml:space="preserve">The following proposal is given. </w:t>
      </w:r>
    </w:p>
    <w:p w14:paraId="4797524B" w14:textId="77777777" w:rsidR="00F70BAF" w:rsidRDefault="00F70BAF" w:rsidP="00F70BAF">
      <w:pPr>
        <w:jc w:val="both"/>
        <w:rPr>
          <w:b/>
          <w:i/>
        </w:rPr>
      </w:pPr>
      <w:r w:rsidRPr="001A4F2D">
        <w:rPr>
          <w:rFonts w:hint="eastAsia"/>
          <w:b/>
          <w:i/>
        </w:rPr>
        <w:t xml:space="preserve">Proposal 1: </w:t>
      </w:r>
      <w:r w:rsidRPr="001A4F2D">
        <w:rPr>
          <w:b/>
          <w:i/>
        </w:rPr>
        <w:t xml:space="preserve">MOs configured </w:t>
      </w:r>
      <w:r w:rsidRPr="001A4F2D">
        <w:rPr>
          <w:rFonts w:hint="eastAsia"/>
          <w:b/>
          <w:i/>
        </w:rPr>
        <w:t>by MN and SN should be counted as two for async EN-DC case.</w:t>
      </w:r>
    </w:p>
    <w:p w14:paraId="31397B5E" w14:textId="77777777" w:rsidR="00FC27F7" w:rsidRPr="00F70BAF" w:rsidRDefault="00FC27F7" w:rsidP="00FC27F7">
      <w:pPr>
        <w:jc w:val="both"/>
        <w:rPr>
          <w:b/>
          <w:i/>
        </w:rPr>
      </w:pPr>
      <w:r w:rsidRPr="00F70BAF">
        <w:rPr>
          <w:b/>
          <w:i/>
        </w:rPr>
        <w:t>P</w:t>
      </w:r>
      <w:r w:rsidRPr="00F70BAF">
        <w:rPr>
          <w:rFonts w:hint="eastAsia"/>
          <w:b/>
          <w:i/>
        </w:rPr>
        <w:t xml:space="preserve">roposal </w:t>
      </w:r>
      <w:r w:rsidRPr="00F70BAF">
        <w:rPr>
          <w:b/>
          <w:i/>
        </w:rPr>
        <w:t xml:space="preserve">2: </w:t>
      </w:r>
      <w:r w:rsidRPr="00F70BAF">
        <w:rPr>
          <w:rFonts w:hint="eastAsia"/>
          <w:b/>
          <w:i/>
        </w:rPr>
        <w:t xml:space="preserve">For sync EN-DC case, </w:t>
      </w:r>
      <w:r w:rsidRPr="00F70BAF">
        <w:rPr>
          <w:b/>
          <w:i/>
        </w:rPr>
        <w:t>the MOs configured for the same carrier frequency by MN and SN can not be considered as one if the SMTC of one MO is not a subset of the SMTC of the other MO. To be more specific, the MOs configured for the same carrier frequency by MN and SN can not be considered as one if the following conditions are not satisfied</w:t>
      </w:r>
      <w:r w:rsidRPr="00F70BAF">
        <w:rPr>
          <w:rFonts w:hint="eastAsia"/>
          <w:b/>
          <w:i/>
        </w:rPr>
        <w:t>:</w:t>
      </w:r>
    </w:p>
    <w:p w14:paraId="053EA07D" w14:textId="77777777" w:rsidR="00FC27F7" w:rsidRPr="00672DEA" w:rsidRDefault="00AE76D5" w:rsidP="00FC27F7">
      <w:pPr>
        <w:jc w:val="both"/>
      </w:pPr>
      <m:oMathPara>
        <m:oMath>
          <m:sSub>
            <m:sSubPr>
              <m:ctrlPr>
                <w:rPr>
                  <w:rFonts w:ascii="Cambria Math" w:hAnsi="Cambria Math"/>
                </w:rPr>
              </m:ctrlPr>
            </m:sSubPr>
            <m:e>
              <m:r>
                <m:rPr>
                  <m:sty m:val="p"/>
                </m:rPr>
                <w:rPr>
                  <w:rFonts w:ascii="Cambria Math" w:hAnsi="Cambria Math"/>
                </w:rPr>
                <m:t>periodicity</m:t>
              </m:r>
              <m:ctrlPr>
                <w:rPr>
                  <w:rFonts w:ascii="Cambria Math" w:hAnsi="Cambria Math"/>
                  <w:i/>
                </w:rPr>
              </m:ctrlP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periodicity</m:t>
              </m:r>
              <m:ctrlPr>
                <w:rPr>
                  <w:rFonts w:ascii="Cambria Math" w:hAnsi="Cambria Math"/>
                  <w:i/>
                </w:rPr>
              </m:ctrlPr>
            </m:e>
            <m:sub>
              <m:r>
                <w:rPr>
                  <w:rFonts w:ascii="Cambria Math" w:hAnsi="Cambria Math"/>
                </w:rPr>
                <m:t>2</m:t>
              </m:r>
            </m:sub>
          </m:sSub>
        </m:oMath>
      </m:oMathPara>
    </w:p>
    <w:p w14:paraId="4E9F9EFF" w14:textId="11FAAC57" w:rsidR="00FC27F7" w:rsidRPr="00FC27F7" w:rsidRDefault="00AE76D5" w:rsidP="00FC27F7">
      <w:pPr>
        <w:jc w:val="both"/>
      </w:pPr>
      <m:oMathPara>
        <m:oMath>
          <m:sSub>
            <m:sSubPr>
              <m:ctrlPr>
                <w:rPr>
                  <w:rFonts w:ascii="Cambria Math" w:hAnsi="Cambria Math"/>
                </w:rPr>
              </m:ctrlPr>
            </m:sSubPr>
            <m:e>
              <m:r>
                <m:rPr>
                  <m:sty m:val="p"/>
                </m:rPr>
                <w:rPr>
                  <w:rFonts w:ascii="Cambria Math" w:hAnsi="Cambria Math"/>
                </w:rPr>
                <m:t>duration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duration</m:t>
              </m:r>
            </m:e>
            <m:sub>
              <m:r>
                <m:rPr>
                  <m:sty m:val="p"/>
                </m:rPr>
                <w:rPr>
                  <w:rFonts w:ascii="Cambria Math" w:hAnsi="Cambria Math"/>
                </w:rPr>
                <m:t>2</m:t>
              </m:r>
            </m:sub>
          </m:sSub>
        </m:oMath>
      </m:oMathPara>
    </w:p>
    <w:p w14:paraId="5CA37055" w14:textId="77777777" w:rsidR="00FC27F7" w:rsidRPr="005D78C0" w:rsidRDefault="00AE76D5" w:rsidP="00FC27F7">
      <w:pPr>
        <w:jc w:val="both"/>
      </w:pPr>
      <m:oMathPara>
        <m:oMath>
          <m:sSub>
            <m:sSubPr>
              <m:ctrlPr>
                <w:rPr>
                  <w:rFonts w:ascii="Cambria Math" w:hAnsi="Cambria Math"/>
                  <w:i/>
                </w:rPr>
              </m:ctrlPr>
            </m:sSubPr>
            <m:e>
              <m:r>
                <m:rPr>
                  <m:sty m:val="p"/>
                </m:rPr>
                <w:rPr>
                  <w:rFonts w:ascii="Cambria Math" w:hAnsi="Cambria Math"/>
                </w:rPr>
                <m:t>offset</m:t>
              </m:r>
            </m:e>
            <m:sub>
              <m:r>
                <w:rPr>
                  <w:rFonts w:ascii="Cambria Math" w:hAnsi="Cambria Math"/>
                </w:rPr>
                <m:t>2</m:t>
              </m:r>
            </m:sub>
          </m:sSub>
          <m:r>
            <m:rPr>
              <m:sty m:val="p"/>
            </m:rPr>
            <w:rPr>
              <w:rFonts w:ascii="Cambria Math" w:hAnsi="Cambria Math"/>
            </w:rPr>
            <m:t>∈</m:t>
          </m:r>
          <m:d>
            <m:dPr>
              <m:ctrlPr>
                <w:rPr>
                  <w:rFonts w:ascii="Cambria Math" w:hAnsi="Cambria Math"/>
                </w:rPr>
              </m:ctrlPr>
            </m:dPr>
            <m:e>
              <m:r>
                <m:rPr>
                  <m:sty m:val="p"/>
                </m:rPr>
                <w:rPr>
                  <w:rFonts w:ascii="Cambria Math" w:hAnsi="Cambria Math"/>
                </w:rPr>
                <m:t>offse</m:t>
              </m:r>
              <m:sSub>
                <m:sSubPr>
                  <m:ctrlPr>
                    <w:rPr>
                      <w:rFonts w:ascii="Cambria Math" w:hAnsi="Cambria Math"/>
                      <w:i/>
                    </w:rPr>
                  </m:ctrlPr>
                </m:sSubPr>
                <m:e>
                  <m:r>
                    <m:rPr>
                      <m:sty m:val="p"/>
                    </m:rPr>
                    <w:rPr>
                      <w:rFonts w:ascii="Cambria Math" w:hAnsi="Cambria Math"/>
                    </w:rPr>
                    <m:t>t</m:t>
                  </m:r>
                </m:e>
                <m:sub>
                  <m:r>
                    <w:rPr>
                      <w:rFonts w:ascii="Cambria Math" w:hAnsi="Cambria Math"/>
                    </w:rPr>
                    <m:t>1</m:t>
                  </m:r>
                </m:sub>
              </m:sSub>
              <m:r>
                <w:rPr>
                  <w:rFonts w:ascii="Cambria Math" w:hAnsi="Cambria Math"/>
                </w:rPr>
                <m:t>+k∙</m:t>
              </m:r>
              <m:sSub>
                <m:sSubPr>
                  <m:ctrlPr>
                    <w:rPr>
                      <w:rFonts w:ascii="Cambria Math" w:hAnsi="Cambria Math"/>
                    </w:rPr>
                  </m:ctrlPr>
                </m:sSubPr>
                <m:e>
                  <m:r>
                    <m:rPr>
                      <m:sty m:val="p"/>
                    </m:rPr>
                    <w:rPr>
                      <w:rFonts w:ascii="Cambria Math" w:hAnsi="Cambria Math"/>
                    </w:rPr>
                    <m:t>periodicity</m:t>
                  </m:r>
                  <m:ctrlPr>
                    <w:rPr>
                      <w:rFonts w:ascii="Cambria Math" w:hAnsi="Cambria Math"/>
                      <w:i/>
                    </w:rPr>
                  </m:ctrlPr>
                </m:e>
                <m:sub>
                  <m:r>
                    <w:rPr>
                      <w:rFonts w:ascii="Cambria Math" w:hAnsi="Cambria Math"/>
                    </w:rPr>
                    <m:t>1</m:t>
                  </m:r>
                </m:sub>
              </m:sSub>
              <m:r>
                <w:rPr>
                  <w:rFonts w:ascii="Cambria Math" w:hAnsi="Cambria Math"/>
                </w:rPr>
                <m:t>+</m:t>
              </m:r>
              <m:d>
                <m:dPr>
                  <m:begChr m:val="["/>
                  <m:endChr m:val="]"/>
                  <m:ctrlPr>
                    <w:rPr>
                      <w:rFonts w:ascii="Cambria Math" w:hAnsi="Cambria Math"/>
                    </w:rPr>
                  </m:ctrlPr>
                </m:dPr>
                <m:e>
                  <m:r>
                    <w:rPr>
                      <w:rFonts w:ascii="Cambria Math" w:hAnsi="Cambria Math"/>
                    </w:rPr>
                    <m:t>0</m:t>
                  </m:r>
                  <m:r>
                    <m:rPr>
                      <m:sty m:val="p"/>
                    </m:rPr>
                    <w:rPr>
                      <w:rFonts w:ascii="Cambria Math" w:hAnsi="Cambria Math" w:hint="eastAsia"/>
                    </w:rPr>
                    <m:t>,</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duration</m:t>
                      </m:r>
                    </m:e>
                    <m:sub>
                      <m:r>
                        <m:rPr>
                          <m:sty m:val="p"/>
                        </m:rPr>
                        <w:rPr>
                          <w:rFonts w:ascii="Cambria Math" w:hAnsi="Cambria Math"/>
                        </w:rPr>
                        <m:t>1</m:t>
                      </m:r>
                    </m:sub>
                  </m:sSub>
                  <m:r>
                    <w:rPr>
                      <w:rFonts w:ascii="Cambria Math" w:hAnsi="Cambria Math"/>
                    </w:rPr>
                    <m:t>-</m:t>
                  </m:r>
                  <m:sSub>
                    <m:sSubPr>
                      <m:ctrlPr>
                        <w:rPr>
                          <w:rFonts w:ascii="Cambria Math" w:hAnsi="Cambria Math"/>
                          <w:i/>
                        </w:rPr>
                      </m:ctrlPr>
                    </m:sSubPr>
                    <m:e>
                      <m:r>
                        <m:rPr>
                          <m:sty m:val="p"/>
                        </m:rPr>
                        <w:rPr>
                          <w:rFonts w:ascii="Cambria Math" w:hAnsi="Cambria Math"/>
                        </w:rPr>
                        <m:t>duration</m:t>
                      </m:r>
                    </m:e>
                    <m:sub>
                      <m:r>
                        <w:rPr>
                          <w:rFonts w:ascii="Cambria Math" w:hAnsi="Cambria Math"/>
                        </w:rPr>
                        <m:t>2</m:t>
                      </m:r>
                    </m:sub>
                  </m:sSub>
                </m:e>
              </m:d>
            </m:e>
          </m:d>
          <m:r>
            <m:rPr>
              <m:sty m:val="p"/>
            </m:rPr>
            <w:rPr>
              <w:rFonts w:ascii="Cambria Math" w:hAnsi="Cambria Math"/>
            </w:rPr>
            <m:t xml:space="preserve"> mod </m:t>
          </m:r>
          <m:sSub>
            <m:sSubPr>
              <m:ctrlPr>
                <w:rPr>
                  <w:rFonts w:ascii="Cambria Math" w:hAnsi="Cambria Math"/>
                </w:rPr>
              </m:ctrlPr>
            </m:sSubPr>
            <m:e>
              <m:r>
                <m:rPr>
                  <m:sty m:val="p"/>
                </m:rPr>
                <w:rPr>
                  <w:rFonts w:ascii="Cambria Math" w:hAnsi="Cambria Math"/>
                </w:rPr>
                <m:t>periodicity</m:t>
              </m:r>
            </m:e>
            <m:sub>
              <m:r>
                <m:rPr>
                  <m:sty m:val="p"/>
                </m:rPr>
                <w:rPr>
                  <w:rFonts w:ascii="Cambria Math" w:hAnsi="Cambria Math"/>
                </w:rPr>
                <m:t>2</m:t>
              </m:r>
            </m:sub>
          </m:sSub>
        </m:oMath>
      </m:oMathPara>
    </w:p>
    <w:p w14:paraId="0519429A" w14:textId="77777777" w:rsidR="00FC27F7" w:rsidRPr="00FC27F7" w:rsidRDefault="00FC27F7" w:rsidP="00FC27F7">
      <w:pPr>
        <w:jc w:val="both"/>
        <w:rPr>
          <w:b/>
          <w:i/>
        </w:rPr>
      </w:pPr>
      <w:r w:rsidRPr="00F70BAF">
        <w:rPr>
          <w:b/>
          <w:i/>
        </w:rPr>
        <w:t>W</w:t>
      </w:r>
      <w:r w:rsidRPr="00F70BAF">
        <w:rPr>
          <w:rFonts w:hint="eastAsia"/>
          <w:b/>
          <w:i/>
        </w:rPr>
        <w:t xml:space="preserve">here </w:t>
      </w:r>
      <m:oMath>
        <m:sSub>
          <m:sSubPr>
            <m:ctrlPr>
              <w:rPr>
                <w:rFonts w:ascii="Cambria Math" w:hAnsi="Cambria Math"/>
              </w:rPr>
            </m:ctrlPr>
          </m:sSubPr>
          <m:e>
            <m:r>
              <m:rPr>
                <m:sty m:val="p"/>
              </m:rPr>
              <w:rPr>
                <w:rFonts w:ascii="Cambria Math" w:hAnsi="Cambria Math"/>
              </w:rPr>
              <m:t>periodicity</m:t>
            </m:r>
          </m:e>
          <m:sub>
            <m:r>
              <m:rPr>
                <m:sty m:val="p"/>
              </m:rPr>
              <w:rPr>
                <w:rFonts w:ascii="Cambria Math" w:hAnsi="Cambria Math"/>
              </w:rPr>
              <m:t>1</m:t>
            </m:r>
          </m:sub>
        </m:sSub>
      </m:oMath>
      <w:r w:rsidRPr="00F70BAF">
        <w:rPr>
          <w:b/>
          <w:i/>
        </w:rPr>
        <w:t xml:space="preserve">, </w:t>
      </w:r>
      <m:oMath>
        <m:sSub>
          <m:sSubPr>
            <m:ctrlPr>
              <w:rPr>
                <w:rFonts w:ascii="Cambria Math" w:hAnsi="Cambria Math"/>
              </w:rPr>
            </m:ctrlPr>
          </m:sSubPr>
          <m:e>
            <m:r>
              <m:rPr>
                <m:sty m:val="p"/>
              </m:rPr>
              <w:rPr>
                <w:rFonts w:ascii="Cambria Math" w:hAnsi="Cambria Math"/>
              </w:rPr>
              <m:t>duration</m:t>
            </m:r>
          </m:e>
          <m:sub>
            <m:r>
              <m:rPr>
                <m:sty m:val="p"/>
              </m:rPr>
              <w:rPr>
                <w:rFonts w:ascii="Cambria Math" w:hAnsi="Cambria Math"/>
              </w:rPr>
              <m:t>1</m:t>
            </m:r>
          </m:sub>
        </m:sSub>
      </m:oMath>
      <w:r w:rsidRPr="00F70BAF">
        <w:rPr>
          <w:b/>
          <w:i/>
        </w:rPr>
        <w:t xml:space="preserve"> and </w:t>
      </w:r>
      <m:oMath>
        <m:r>
          <m:rPr>
            <m:sty m:val="p"/>
          </m:rPr>
          <w:rPr>
            <w:rFonts w:ascii="Cambria Math" w:hAnsi="Cambria Math"/>
          </w:rPr>
          <m:t>offse</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oMath>
      <w:r w:rsidRPr="00F70BAF">
        <w:rPr>
          <w:rFonts w:hint="eastAsia"/>
          <w:b/>
          <w:i/>
        </w:rPr>
        <w:t xml:space="preserve"> is the periodicity, duration and offset of the SMTC with</w:t>
      </w:r>
      <w:r>
        <w:rPr>
          <w:rFonts w:hint="eastAsia"/>
          <w:b/>
          <w:i/>
        </w:rPr>
        <w:t xml:space="preserve"> smaller periodicity, </w:t>
      </w:r>
      <m:oMath>
        <m:r>
          <w:rPr>
            <w:rFonts w:ascii="Cambria Math" w:hAnsi="Cambria Math"/>
          </w:rPr>
          <m:t>k</m:t>
        </m:r>
      </m:oMath>
      <w:r>
        <w:t xml:space="preserve"> is integer</w:t>
      </w:r>
      <w:r>
        <w:rPr>
          <w:i/>
        </w:rPr>
        <w:t>.</w:t>
      </w:r>
    </w:p>
    <w:p w14:paraId="2D302014" w14:textId="77777777" w:rsidR="0097202C" w:rsidRPr="00C560A6" w:rsidRDefault="0097202C" w:rsidP="0097202C">
      <w:pPr>
        <w:pStyle w:val="1"/>
        <w:jc w:val="both"/>
        <w:rPr>
          <w:rFonts w:ascii="Arial" w:hAnsi="Arial" w:cs="Arial"/>
          <w:lang w:val="en-US"/>
        </w:rPr>
      </w:pPr>
      <w:r>
        <w:rPr>
          <w:rFonts w:ascii="Arial" w:hAnsi="Arial" w:cs="Arial"/>
          <w:lang w:val="en-US"/>
        </w:rPr>
        <w:t>Reference</w:t>
      </w:r>
    </w:p>
    <w:p w14:paraId="39303321" w14:textId="5475F638" w:rsidR="00CE0183" w:rsidRDefault="00CE0183" w:rsidP="00813E54">
      <w:pPr>
        <w:pStyle w:val="a5"/>
        <w:rPr>
          <w:rFonts w:ascii="Times New Roman" w:hAnsi="Times New Roman" w:cs="Times New Roman"/>
        </w:rPr>
      </w:pPr>
      <w:r>
        <w:rPr>
          <w:rFonts w:ascii="Times New Roman" w:hAnsi="Times New Roman" w:cs="Times New Roman"/>
        </w:rPr>
        <w:t xml:space="preserve">[1] </w:t>
      </w:r>
      <w:r w:rsidR="00F70BAF">
        <w:rPr>
          <w:rFonts w:ascii="Times New Roman" w:hAnsi="Times New Roman" w:cs="Times New Roman"/>
        </w:rPr>
        <w:t>36.331</w:t>
      </w:r>
    </w:p>
    <w:p w14:paraId="42CD2E4C" w14:textId="6EB2753C" w:rsidR="00F70BAF" w:rsidRDefault="00F70BAF" w:rsidP="00F70BAF">
      <w:r>
        <w:rPr>
          <w:rFonts w:hint="eastAsia"/>
        </w:rPr>
        <w:t>[</w:t>
      </w:r>
      <w:r>
        <w:t>2</w:t>
      </w:r>
      <w:r>
        <w:rPr>
          <w:rFonts w:hint="eastAsia"/>
        </w:rPr>
        <w:t>]</w:t>
      </w:r>
      <w:r>
        <w:t xml:space="preserve"> 38.331</w:t>
      </w:r>
    </w:p>
    <w:p w14:paraId="287D6C5A" w14:textId="2B8480DE" w:rsidR="00F70BAF" w:rsidRPr="00F70BAF" w:rsidRDefault="00F70BAF" w:rsidP="00F70BAF">
      <w:r>
        <w:t>[3] 38.133</w:t>
      </w:r>
    </w:p>
    <w:sectPr w:rsidR="00F70BAF" w:rsidRPr="00F70B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4E5B2" w14:textId="77777777" w:rsidR="00AE76D5" w:rsidRDefault="00AE76D5" w:rsidP="002F5416">
      <w:pPr>
        <w:spacing w:after="0"/>
      </w:pPr>
      <w:r>
        <w:separator/>
      </w:r>
    </w:p>
  </w:endnote>
  <w:endnote w:type="continuationSeparator" w:id="0">
    <w:p w14:paraId="621CF871" w14:textId="77777777" w:rsidR="00AE76D5" w:rsidRDefault="00AE76D5" w:rsidP="002F5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B8359" w14:textId="77777777" w:rsidR="00AE76D5" w:rsidRDefault="00AE76D5" w:rsidP="002F5416">
      <w:pPr>
        <w:spacing w:after="0"/>
      </w:pPr>
      <w:r>
        <w:separator/>
      </w:r>
    </w:p>
  </w:footnote>
  <w:footnote w:type="continuationSeparator" w:id="0">
    <w:p w14:paraId="7B9A7551" w14:textId="77777777" w:rsidR="00AE76D5" w:rsidRDefault="00AE76D5" w:rsidP="002F54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3E7AE7"/>
    <w:multiLevelType w:val="hybridMultilevel"/>
    <w:tmpl w:val="C91E1518"/>
    <w:lvl w:ilvl="0" w:tplc="938C0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29430C"/>
    <w:multiLevelType w:val="hybridMultilevel"/>
    <w:tmpl w:val="EC4233D8"/>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D878F7"/>
    <w:multiLevelType w:val="hybridMultilevel"/>
    <w:tmpl w:val="01D242B8"/>
    <w:lvl w:ilvl="0" w:tplc="E20A2912">
      <w:start w:val="1"/>
      <w:numFmt w:val="bullet"/>
      <w:lvlText w:val="•"/>
      <w:lvlJc w:val="left"/>
      <w:pPr>
        <w:tabs>
          <w:tab w:val="num" w:pos="360"/>
        </w:tabs>
        <w:ind w:left="360" w:hanging="360"/>
      </w:pPr>
      <w:rPr>
        <w:rFonts w:ascii="Arial" w:hAnsi="Arial" w:hint="default"/>
      </w:rPr>
    </w:lvl>
    <w:lvl w:ilvl="1" w:tplc="F8BAB016">
      <w:numFmt w:val="bullet"/>
      <w:lvlText w:val="–"/>
      <w:lvlJc w:val="left"/>
      <w:pPr>
        <w:tabs>
          <w:tab w:val="num" w:pos="1080"/>
        </w:tabs>
        <w:ind w:left="1080" w:hanging="360"/>
      </w:pPr>
      <w:rPr>
        <w:rFonts w:ascii="Arial" w:hAnsi="Arial" w:hint="default"/>
      </w:rPr>
    </w:lvl>
    <w:lvl w:ilvl="2" w:tplc="D6F63F22">
      <w:numFmt w:val="bullet"/>
      <w:lvlText w:val="•"/>
      <w:lvlJc w:val="left"/>
      <w:pPr>
        <w:tabs>
          <w:tab w:val="num" w:pos="1800"/>
        </w:tabs>
        <w:ind w:left="1800" w:hanging="360"/>
      </w:pPr>
      <w:rPr>
        <w:rFonts w:ascii="Arial" w:hAnsi="Arial" w:hint="default"/>
      </w:rPr>
    </w:lvl>
    <w:lvl w:ilvl="3" w:tplc="7062E472">
      <w:start w:val="1"/>
      <w:numFmt w:val="bullet"/>
      <w:lvlText w:val="•"/>
      <w:lvlJc w:val="left"/>
      <w:pPr>
        <w:tabs>
          <w:tab w:val="num" w:pos="2520"/>
        </w:tabs>
        <w:ind w:left="2520" w:hanging="360"/>
      </w:pPr>
      <w:rPr>
        <w:rFonts w:ascii="Arial" w:hAnsi="Arial" w:hint="default"/>
      </w:rPr>
    </w:lvl>
    <w:lvl w:ilvl="4" w:tplc="8EB07364" w:tentative="1">
      <w:start w:val="1"/>
      <w:numFmt w:val="bullet"/>
      <w:lvlText w:val="•"/>
      <w:lvlJc w:val="left"/>
      <w:pPr>
        <w:tabs>
          <w:tab w:val="num" w:pos="3240"/>
        </w:tabs>
        <w:ind w:left="3240" w:hanging="360"/>
      </w:pPr>
      <w:rPr>
        <w:rFonts w:ascii="Arial" w:hAnsi="Arial" w:hint="default"/>
      </w:rPr>
    </w:lvl>
    <w:lvl w:ilvl="5" w:tplc="6096B906" w:tentative="1">
      <w:start w:val="1"/>
      <w:numFmt w:val="bullet"/>
      <w:lvlText w:val="•"/>
      <w:lvlJc w:val="left"/>
      <w:pPr>
        <w:tabs>
          <w:tab w:val="num" w:pos="3960"/>
        </w:tabs>
        <w:ind w:left="3960" w:hanging="360"/>
      </w:pPr>
      <w:rPr>
        <w:rFonts w:ascii="Arial" w:hAnsi="Arial" w:hint="default"/>
      </w:rPr>
    </w:lvl>
    <w:lvl w:ilvl="6" w:tplc="A0C418F6" w:tentative="1">
      <w:start w:val="1"/>
      <w:numFmt w:val="bullet"/>
      <w:lvlText w:val="•"/>
      <w:lvlJc w:val="left"/>
      <w:pPr>
        <w:tabs>
          <w:tab w:val="num" w:pos="4680"/>
        </w:tabs>
        <w:ind w:left="4680" w:hanging="360"/>
      </w:pPr>
      <w:rPr>
        <w:rFonts w:ascii="Arial" w:hAnsi="Arial" w:hint="default"/>
      </w:rPr>
    </w:lvl>
    <w:lvl w:ilvl="7" w:tplc="DC50A0A0" w:tentative="1">
      <w:start w:val="1"/>
      <w:numFmt w:val="bullet"/>
      <w:lvlText w:val="•"/>
      <w:lvlJc w:val="left"/>
      <w:pPr>
        <w:tabs>
          <w:tab w:val="num" w:pos="5400"/>
        </w:tabs>
        <w:ind w:left="5400" w:hanging="360"/>
      </w:pPr>
      <w:rPr>
        <w:rFonts w:ascii="Arial" w:hAnsi="Arial" w:hint="default"/>
      </w:rPr>
    </w:lvl>
    <w:lvl w:ilvl="8" w:tplc="B63A466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B92CF6"/>
    <w:multiLevelType w:val="hybridMultilevel"/>
    <w:tmpl w:val="A588E748"/>
    <w:lvl w:ilvl="0" w:tplc="60229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4937D6"/>
    <w:multiLevelType w:val="hybridMultilevel"/>
    <w:tmpl w:val="93C45462"/>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730F9F"/>
    <w:multiLevelType w:val="hybridMultilevel"/>
    <w:tmpl w:val="9D2E98B0"/>
    <w:lvl w:ilvl="0" w:tplc="2D92AA28">
      <w:start w:val="1"/>
      <w:numFmt w:val="bullet"/>
      <w:lvlText w:val="•"/>
      <w:lvlJc w:val="left"/>
      <w:pPr>
        <w:ind w:left="840" w:hanging="420"/>
      </w:pPr>
      <w:rPr>
        <w:rFonts w:ascii="宋体" w:eastAsia="宋体" w:hAnsi="宋体" w:cs="Times New Roman" w:hint="eastAsia"/>
        <w:b w:val="0"/>
        <w:i w:val="0"/>
        <w:sz w:val="20"/>
      </w:rPr>
    </w:lvl>
    <w:lvl w:ilvl="1" w:tplc="2D92AA28">
      <w:start w:val="1"/>
      <w:numFmt w:val="bullet"/>
      <w:lvlText w:val="•"/>
      <w:lvlJc w:val="left"/>
      <w:pPr>
        <w:ind w:left="1260" w:hanging="420"/>
      </w:pPr>
      <w:rPr>
        <w:rFonts w:ascii="宋体" w:eastAsia="宋体" w:hAnsi="宋体" w:cs="Times New Roman" w:hint="eastAsia"/>
        <w:b w:val="0"/>
        <w:i w:val="0"/>
        <w:sz w:val="20"/>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106FA"/>
    <w:multiLevelType w:val="hybridMultilevel"/>
    <w:tmpl w:val="B26A3A88"/>
    <w:lvl w:ilvl="0" w:tplc="55E0C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143554"/>
    <w:multiLevelType w:val="hybridMultilevel"/>
    <w:tmpl w:val="3D2E77CA"/>
    <w:lvl w:ilvl="0" w:tplc="EE34D216">
      <w:start w:val="1"/>
      <w:numFmt w:val="bullet"/>
      <w:lvlText w:val=""/>
      <w:lvlJc w:val="left"/>
      <w:pPr>
        <w:tabs>
          <w:tab w:val="num" w:pos="720"/>
        </w:tabs>
        <w:ind w:left="720" w:hanging="360"/>
      </w:pPr>
      <w:rPr>
        <w:rFonts w:ascii="Wingdings" w:hAnsi="Wingdings" w:hint="default"/>
      </w:rPr>
    </w:lvl>
    <w:lvl w:ilvl="1" w:tplc="537E9246">
      <w:numFmt w:val="bullet"/>
      <w:lvlText w:val="•"/>
      <w:lvlJc w:val="left"/>
      <w:pPr>
        <w:tabs>
          <w:tab w:val="num" w:pos="1440"/>
        </w:tabs>
        <w:ind w:left="1440" w:hanging="360"/>
      </w:pPr>
      <w:rPr>
        <w:rFonts w:ascii="Arial" w:hAnsi="Arial" w:hint="default"/>
      </w:rPr>
    </w:lvl>
    <w:lvl w:ilvl="2" w:tplc="0B287FB4">
      <w:numFmt w:val="bullet"/>
      <w:lvlText w:val="-"/>
      <w:lvlJc w:val="left"/>
      <w:pPr>
        <w:tabs>
          <w:tab w:val="num" w:pos="2160"/>
        </w:tabs>
        <w:ind w:left="2160" w:hanging="360"/>
      </w:pPr>
      <w:rPr>
        <w:rFonts w:ascii="Calibri" w:hAnsi="Calibri" w:hint="default"/>
      </w:rPr>
    </w:lvl>
    <w:lvl w:ilvl="3" w:tplc="8548B732">
      <w:numFmt w:val="bullet"/>
      <w:lvlText w:val=""/>
      <w:lvlJc w:val="left"/>
      <w:pPr>
        <w:tabs>
          <w:tab w:val="num" w:pos="2880"/>
        </w:tabs>
        <w:ind w:left="2880" w:hanging="360"/>
      </w:pPr>
      <w:rPr>
        <w:rFonts w:ascii="Wingdings" w:hAnsi="Wingdings" w:hint="default"/>
      </w:rPr>
    </w:lvl>
    <w:lvl w:ilvl="4" w:tplc="ABDA7EBE" w:tentative="1">
      <w:start w:val="1"/>
      <w:numFmt w:val="bullet"/>
      <w:lvlText w:val=""/>
      <w:lvlJc w:val="left"/>
      <w:pPr>
        <w:tabs>
          <w:tab w:val="num" w:pos="3600"/>
        </w:tabs>
        <w:ind w:left="3600" w:hanging="360"/>
      </w:pPr>
      <w:rPr>
        <w:rFonts w:ascii="Wingdings" w:hAnsi="Wingdings" w:hint="default"/>
      </w:rPr>
    </w:lvl>
    <w:lvl w:ilvl="5" w:tplc="C74ADD6E" w:tentative="1">
      <w:start w:val="1"/>
      <w:numFmt w:val="bullet"/>
      <w:lvlText w:val=""/>
      <w:lvlJc w:val="left"/>
      <w:pPr>
        <w:tabs>
          <w:tab w:val="num" w:pos="4320"/>
        </w:tabs>
        <w:ind w:left="4320" w:hanging="360"/>
      </w:pPr>
      <w:rPr>
        <w:rFonts w:ascii="Wingdings" w:hAnsi="Wingdings" w:hint="default"/>
      </w:rPr>
    </w:lvl>
    <w:lvl w:ilvl="6" w:tplc="5B8EE858" w:tentative="1">
      <w:start w:val="1"/>
      <w:numFmt w:val="bullet"/>
      <w:lvlText w:val=""/>
      <w:lvlJc w:val="left"/>
      <w:pPr>
        <w:tabs>
          <w:tab w:val="num" w:pos="5040"/>
        </w:tabs>
        <w:ind w:left="5040" w:hanging="360"/>
      </w:pPr>
      <w:rPr>
        <w:rFonts w:ascii="Wingdings" w:hAnsi="Wingdings" w:hint="default"/>
      </w:rPr>
    </w:lvl>
    <w:lvl w:ilvl="7" w:tplc="FD52C52C" w:tentative="1">
      <w:start w:val="1"/>
      <w:numFmt w:val="bullet"/>
      <w:lvlText w:val=""/>
      <w:lvlJc w:val="left"/>
      <w:pPr>
        <w:tabs>
          <w:tab w:val="num" w:pos="5760"/>
        </w:tabs>
        <w:ind w:left="5760" w:hanging="360"/>
      </w:pPr>
      <w:rPr>
        <w:rFonts w:ascii="Wingdings" w:hAnsi="Wingdings" w:hint="default"/>
      </w:rPr>
    </w:lvl>
    <w:lvl w:ilvl="8" w:tplc="CBAACBF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0F484A"/>
    <w:multiLevelType w:val="hybridMultilevel"/>
    <w:tmpl w:val="ABD6B60C"/>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2B1EC5"/>
    <w:multiLevelType w:val="hybridMultilevel"/>
    <w:tmpl w:val="29C8519A"/>
    <w:lvl w:ilvl="0" w:tplc="30546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351DA6"/>
    <w:multiLevelType w:val="hybridMultilevel"/>
    <w:tmpl w:val="1B88B258"/>
    <w:lvl w:ilvl="0" w:tplc="7856DA0E">
      <w:start w:val="1"/>
      <w:numFmt w:val="bullet"/>
      <w:lvlText w:val="•"/>
      <w:lvlJc w:val="left"/>
      <w:pPr>
        <w:tabs>
          <w:tab w:val="num" w:pos="360"/>
        </w:tabs>
        <w:ind w:left="360" w:hanging="360"/>
      </w:pPr>
      <w:rPr>
        <w:rFonts w:ascii="Arial" w:hAnsi="Arial" w:hint="default"/>
      </w:rPr>
    </w:lvl>
    <w:lvl w:ilvl="1" w:tplc="02B8BF58">
      <w:numFmt w:val="bullet"/>
      <w:lvlText w:val="–"/>
      <w:lvlJc w:val="left"/>
      <w:pPr>
        <w:tabs>
          <w:tab w:val="num" w:pos="1080"/>
        </w:tabs>
        <w:ind w:left="1080" w:hanging="360"/>
      </w:pPr>
      <w:rPr>
        <w:rFonts w:ascii="Arial" w:hAnsi="Arial" w:hint="default"/>
      </w:rPr>
    </w:lvl>
    <w:lvl w:ilvl="2" w:tplc="1F8240EE" w:tentative="1">
      <w:start w:val="1"/>
      <w:numFmt w:val="bullet"/>
      <w:lvlText w:val="•"/>
      <w:lvlJc w:val="left"/>
      <w:pPr>
        <w:tabs>
          <w:tab w:val="num" w:pos="1800"/>
        </w:tabs>
        <w:ind w:left="1800" w:hanging="360"/>
      </w:pPr>
      <w:rPr>
        <w:rFonts w:ascii="Arial" w:hAnsi="Arial" w:hint="default"/>
      </w:rPr>
    </w:lvl>
    <w:lvl w:ilvl="3" w:tplc="7892F22E" w:tentative="1">
      <w:start w:val="1"/>
      <w:numFmt w:val="bullet"/>
      <w:lvlText w:val="•"/>
      <w:lvlJc w:val="left"/>
      <w:pPr>
        <w:tabs>
          <w:tab w:val="num" w:pos="2520"/>
        </w:tabs>
        <w:ind w:left="2520" w:hanging="360"/>
      </w:pPr>
      <w:rPr>
        <w:rFonts w:ascii="Arial" w:hAnsi="Arial" w:hint="default"/>
      </w:rPr>
    </w:lvl>
    <w:lvl w:ilvl="4" w:tplc="793A0A72" w:tentative="1">
      <w:start w:val="1"/>
      <w:numFmt w:val="bullet"/>
      <w:lvlText w:val="•"/>
      <w:lvlJc w:val="left"/>
      <w:pPr>
        <w:tabs>
          <w:tab w:val="num" w:pos="3240"/>
        </w:tabs>
        <w:ind w:left="3240" w:hanging="360"/>
      </w:pPr>
      <w:rPr>
        <w:rFonts w:ascii="Arial" w:hAnsi="Arial" w:hint="default"/>
      </w:rPr>
    </w:lvl>
    <w:lvl w:ilvl="5" w:tplc="3B7443CC" w:tentative="1">
      <w:start w:val="1"/>
      <w:numFmt w:val="bullet"/>
      <w:lvlText w:val="•"/>
      <w:lvlJc w:val="left"/>
      <w:pPr>
        <w:tabs>
          <w:tab w:val="num" w:pos="3960"/>
        </w:tabs>
        <w:ind w:left="3960" w:hanging="360"/>
      </w:pPr>
      <w:rPr>
        <w:rFonts w:ascii="Arial" w:hAnsi="Arial" w:hint="default"/>
      </w:rPr>
    </w:lvl>
    <w:lvl w:ilvl="6" w:tplc="39C80FE6" w:tentative="1">
      <w:start w:val="1"/>
      <w:numFmt w:val="bullet"/>
      <w:lvlText w:val="•"/>
      <w:lvlJc w:val="left"/>
      <w:pPr>
        <w:tabs>
          <w:tab w:val="num" w:pos="4680"/>
        </w:tabs>
        <w:ind w:left="4680" w:hanging="360"/>
      </w:pPr>
      <w:rPr>
        <w:rFonts w:ascii="Arial" w:hAnsi="Arial" w:hint="default"/>
      </w:rPr>
    </w:lvl>
    <w:lvl w:ilvl="7" w:tplc="64882228" w:tentative="1">
      <w:start w:val="1"/>
      <w:numFmt w:val="bullet"/>
      <w:lvlText w:val="•"/>
      <w:lvlJc w:val="left"/>
      <w:pPr>
        <w:tabs>
          <w:tab w:val="num" w:pos="5400"/>
        </w:tabs>
        <w:ind w:left="5400" w:hanging="360"/>
      </w:pPr>
      <w:rPr>
        <w:rFonts w:ascii="Arial" w:hAnsi="Arial" w:hint="default"/>
      </w:rPr>
    </w:lvl>
    <w:lvl w:ilvl="8" w:tplc="E0084B0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44F59F0"/>
    <w:multiLevelType w:val="multilevel"/>
    <w:tmpl w:val="B1F21226"/>
    <w:lvl w:ilvl="0">
      <w:start w:val="1"/>
      <w:numFmt w:val="decimal"/>
      <w:pStyle w:val="1"/>
      <w:lvlText w:val="%1."/>
      <w:lvlJc w:val="left"/>
      <w:pPr>
        <w:tabs>
          <w:tab w:val="num" w:pos="432"/>
        </w:tabs>
        <w:ind w:left="432" w:hanging="432"/>
      </w:pPr>
      <w:rPr>
        <w:rFonts w:ascii="Arial" w:hAnsi="Arial" w:cs="Arial"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ED476F"/>
    <w:multiLevelType w:val="hybridMultilevel"/>
    <w:tmpl w:val="426C7936"/>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585201"/>
    <w:multiLevelType w:val="hybridMultilevel"/>
    <w:tmpl w:val="03E48A74"/>
    <w:lvl w:ilvl="0" w:tplc="F0325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6D2272"/>
    <w:multiLevelType w:val="hybridMultilevel"/>
    <w:tmpl w:val="5D00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C335C"/>
    <w:multiLevelType w:val="hybridMultilevel"/>
    <w:tmpl w:val="8286ECD6"/>
    <w:lvl w:ilvl="0" w:tplc="843A4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E23E71"/>
    <w:multiLevelType w:val="hybridMultilevel"/>
    <w:tmpl w:val="EEC0CD30"/>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E618C5"/>
    <w:multiLevelType w:val="hybridMultilevel"/>
    <w:tmpl w:val="DE0291D4"/>
    <w:lvl w:ilvl="0" w:tplc="08090001">
      <w:start w:val="1"/>
      <w:numFmt w:val="bullet"/>
      <w:lvlText w:val=""/>
      <w:lvlJc w:val="left"/>
      <w:pPr>
        <w:ind w:left="-80" w:hanging="360"/>
      </w:pPr>
      <w:rPr>
        <w:rFonts w:ascii="Symbol" w:hAnsi="Symbol" w:hint="default"/>
      </w:rPr>
    </w:lvl>
    <w:lvl w:ilvl="1" w:tplc="08090003">
      <w:start w:val="1"/>
      <w:numFmt w:val="bullet"/>
      <w:lvlText w:val="o"/>
      <w:lvlJc w:val="left"/>
      <w:pPr>
        <w:ind w:left="640" w:hanging="360"/>
      </w:pPr>
      <w:rPr>
        <w:rFonts w:ascii="Courier New" w:hAnsi="Courier New" w:cs="Courier New" w:hint="default"/>
      </w:rPr>
    </w:lvl>
    <w:lvl w:ilvl="2" w:tplc="08090005">
      <w:start w:val="1"/>
      <w:numFmt w:val="bullet"/>
      <w:lvlText w:val=""/>
      <w:lvlJc w:val="left"/>
      <w:pPr>
        <w:ind w:left="1360" w:hanging="360"/>
      </w:pPr>
      <w:rPr>
        <w:rFonts w:ascii="Wingdings" w:hAnsi="Wingdings" w:hint="default"/>
      </w:rPr>
    </w:lvl>
    <w:lvl w:ilvl="3" w:tplc="08090001">
      <w:start w:val="1"/>
      <w:numFmt w:val="bullet"/>
      <w:lvlText w:val=""/>
      <w:lvlJc w:val="left"/>
      <w:pPr>
        <w:ind w:left="2080" w:hanging="360"/>
      </w:pPr>
      <w:rPr>
        <w:rFonts w:ascii="Symbol" w:hAnsi="Symbol" w:hint="default"/>
      </w:rPr>
    </w:lvl>
    <w:lvl w:ilvl="4" w:tplc="08090003" w:tentative="1">
      <w:start w:val="1"/>
      <w:numFmt w:val="bullet"/>
      <w:lvlText w:val="o"/>
      <w:lvlJc w:val="left"/>
      <w:pPr>
        <w:ind w:left="2800" w:hanging="360"/>
      </w:pPr>
      <w:rPr>
        <w:rFonts w:ascii="Courier New" w:hAnsi="Courier New" w:cs="Courier New" w:hint="default"/>
      </w:rPr>
    </w:lvl>
    <w:lvl w:ilvl="5" w:tplc="08090005" w:tentative="1">
      <w:start w:val="1"/>
      <w:numFmt w:val="bullet"/>
      <w:lvlText w:val=""/>
      <w:lvlJc w:val="left"/>
      <w:pPr>
        <w:ind w:left="3520" w:hanging="360"/>
      </w:pPr>
      <w:rPr>
        <w:rFonts w:ascii="Wingdings" w:hAnsi="Wingdings" w:hint="default"/>
      </w:rPr>
    </w:lvl>
    <w:lvl w:ilvl="6" w:tplc="08090001" w:tentative="1">
      <w:start w:val="1"/>
      <w:numFmt w:val="bullet"/>
      <w:lvlText w:val=""/>
      <w:lvlJc w:val="left"/>
      <w:pPr>
        <w:ind w:left="4240" w:hanging="360"/>
      </w:pPr>
      <w:rPr>
        <w:rFonts w:ascii="Symbol" w:hAnsi="Symbol" w:hint="default"/>
      </w:rPr>
    </w:lvl>
    <w:lvl w:ilvl="7" w:tplc="08090003" w:tentative="1">
      <w:start w:val="1"/>
      <w:numFmt w:val="bullet"/>
      <w:lvlText w:val="o"/>
      <w:lvlJc w:val="left"/>
      <w:pPr>
        <w:ind w:left="4960" w:hanging="360"/>
      </w:pPr>
      <w:rPr>
        <w:rFonts w:ascii="Courier New" w:hAnsi="Courier New" w:cs="Courier New" w:hint="default"/>
      </w:rPr>
    </w:lvl>
    <w:lvl w:ilvl="8" w:tplc="08090005" w:tentative="1">
      <w:start w:val="1"/>
      <w:numFmt w:val="bullet"/>
      <w:lvlText w:val=""/>
      <w:lvlJc w:val="left"/>
      <w:pPr>
        <w:ind w:left="5680" w:hanging="360"/>
      </w:pPr>
      <w:rPr>
        <w:rFonts w:ascii="Wingdings" w:hAnsi="Wingdings" w:hint="default"/>
      </w:rPr>
    </w:lvl>
  </w:abstractNum>
  <w:abstractNum w:abstractNumId="22" w15:restartNumberingAfterBreak="0">
    <w:nsid w:val="5D112826"/>
    <w:multiLevelType w:val="hybridMultilevel"/>
    <w:tmpl w:val="1A4C406C"/>
    <w:lvl w:ilvl="0" w:tplc="7EF4F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AF42E9"/>
    <w:multiLevelType w:val="hybridMultilevel"/>
    <w:tmpl w:val="28CA528E"/>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D362A5"/>
    <w:multiLevelType w:val="hybridMultilevel"/>
    <w:tmpl w:val="391EBE04"/>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735F74"/>
    <w:multiLevelType w:val="hybridMultilevel"/>
    <w:tmpl w:val="4058F490"/>
    <w:lvl w:ilvl="0" w:tplc="B44C52C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70E372E1"/>
    <w:multiLevelType w:val="hybridMultilevel"/>
    <w:tmpl w:val="D9C4D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CF17D0"/>
    <w:multiLevelType w:val="hybridMultilevel"/>
    <w:tmpl w:val="63367200"/>
    <w:lvl w:ilvl="0" w:tplc="08090001">
      <w:start w:val="1"/>
      <w:numFmt w:val="bullet"/>
      <w:lvlText w:val=""/>
      <w:lvlJc w:val="left"/>
      <w:pPr>
        <w:ind w:left="1005" w:hanging="360"/>
      </w:pPr>
      <w:rPr>
        <w:rFonts w:ascii="Symbol" w:hAnsi="Symbol" w:hint="default"/>
      </w:rPr>
    </w:lvl>
    <w:lvl w:ilvl="1" w:tplc="08090003">
      <w:start w:val="1"/>
      <w:numFmt w:val="bullet"/>
      <w:lvlText w:val="o"/>
      <w:lvlJc w:val="left"/>
      <w:pPr>
        <w:ind w:left="1725" w:hanging="360"/>
      </w:pPr>
      <w:rPr>
        <w:rFonts w:ascii="Courier New" w:hAnsi="Courier New" w:cs="Courier New" w:hint="default"/>
      </w:rPr>
    </w:lvl>
    <w:lvl w:ilvl="2" w:tplc="08090005">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abstractNumId w:val="15"/>
  </w:num>
  <w:num w:numId="2">
    <w:abstractNumId w:val="27"/>
  </w:num>
  <w:num w:numId="3">
    <w:abstractNumId w:val="31"/>
  </w:num>
  <w:num w:numId="4">
    <w:abstractNumId w:val="32"/>
  </w:num>
  <w:num w:numId="5">
    <w:abstractNumId w:val="25"/>
  </w:num>
  <w:num w:numId="6">
    <w:abstractNumId w:val="11"/>
  </w:num>
  <w:num w:numId="7">
    <w:abstractNumId w:val="26"/>
  </w:num>
  <w:num w:numId="8">
    <w:abstractNumId w:val="6"/>
  </w:num>
  <w:num w:numId="9">
    <w:abstractNumId w:val="33"/>
  </w:num>
  <w:num w:numId="10">
    <w:abstractNumId w:val="15"/>
  </w:num>
  <w:num w:numId="11">
    <w:abstractNumId w:val="13"/>
  </w:num>
  <w:num w:numId="12">
    <w:abstractNumId w:val="20"/>
  </w:num>
  <w:num w:numId="13">
    <w:abstractNumId w:val="3"/>
  </w:num>
  <w:num w:numId="14">
    <w:abstractNumId w:val="10"/>
  </w:num>
  <w:num w:numId="15">
    <w:abstractNumId w:val="23"/>
  </w:num>
  <w:num w:numId="16">
    <w:abstractNumId w:val="8"/>
  </w:num>
  <w:num w:numId="17">
    <w:abstractNumId w:val="14"/>
  </w:num>
  <w:num w:numId="18">
    <w:abstractNumId w:val="17"/>
  </w:num>
  <w:num w:numId="19">
    <w:abstractNumId w:val="22"/>
  </w:num>
  <w:num w:numId="20">
    <w:abstractNumId w:val="1"/>
  </w:num>
  <w:num w:numId="21">
    <w:abstractNumId w:val="12"/>
  </w:num>
  <w:num w:numId="22">
    <w:abstractNumId w:val="9"/>
  </w:num>
  <w:num w:numId="23">
    <w:abstractNumId w:val="19"/>
  </w:num>
  <w:num w:numId="24">
    <w:abstractNumId w:val="4"/>
  </w:num>
  <w:num w:numId="25">
    <w:abstractNumId w:val="28"/>
  </w:num>
  <w:num w:numId="26">
    <w:abstractNumId w:val="18"/>
  </w:num>
  <w:num w:numId="27">
    <w:abstractNumId w:val="21"/>
  </w:num>
  <w:num w:numId="28">
    <w:abstractNumId w:val="29"/>
  </w:num>
  <w:num w:numId="29">
    <w:abstractNumId w:val="24"/>
  </w:num>
  <w:num w:numId="30">
    <w:abstractNumId w:val="2"/>
  </w:num>
  <w:num w:numId="31">
    <w:abstractNumId w:val="16"/>
  </w:num>
  <w:num w:numId="32">
    <w:abstractNumId w:val="7"/>
  </w:num>
  <w:num w:numId="33">
    <w:abstractNumId w:val="5"/>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1017"/>
    <w:rsid w:val="000028F0"/>
    <w:rsid w:val="00002EF1"/>
    <w:rsid w:val="000053C9"/>
    <w:rsid w:val="000063CD"/>
    <w:rsid w:val="000076B8"/>
    <w:rsid w:val="00015212"/>
    <w:rsid w:val="00017B64"/>
    <w:rsid w:val="000352F3"/>
    <w:rsid w:val="000409C7"/>
    <w:rsid w:val="00041A0F"/>
    <w:rsid w:val="00043F0E"/>
    <w:rsid w:val="00044543"/>
    <w:rsid w:val="0005452B"/>
    <w:rsid w:val="00063578"/>
    <w:rsid w:val="00063699"/>
    <w:rsid w:val="000742F5"/>
    <w:rsid w:val="00084262"/>
    <w:rsid w:val="00084CDB"/>
    <w:rsid w:val="00085D33"/>
    <w:rsid w:val="00097144"/>
    <w:rsid w:val="000A6660"/>
    <w:rsid w:val="000A6713"/>
    <w:rsid w:val="000A7D4E"/>
    <w:rsid w:val="000B0854"/>
    <w:rsid w:val="000B3686"/>
    <w:rsid w:val="000C56D9"/>
    <w:rsid w:val="000D26E2"/>
    <w:rsid w:val="000D45B0"/>
    <w:rsid w:val="000D4772"/>
    <w:rsid w:val="000D6332"/>
    <w:rsid w:val="000E1B11"/>
    <w:rsid w:val="000E2CD9"/>
    <w:rsid w:val="000E2F9D"/>
    <w:rsid w:val="000E7B08"/>
    <w:rsid w:val="000F083B"/>
    <w:rsid w:val="000F1902"/>
    <w:rsid w:val="000F19E7"/>
    <w:rsid w:val="000F2281"/>
    <w:rsid w:val="000F586F"/>
    <w:rsid w:val="001014B4"/>
    <w:rsid w:val="001042B1"/>
    <w:rsid w:val="0011402E"/>
    <w:rsid w:val="00117F7D"/>
    <w:rsid w:val="00123FE0"/>
    <w:rsid w:val="00125A18"/>
    <w:rsid w:val="00133AB1"/>
    <w:rsid w:val="0013581C"/>
    <w:rsid w:val="00153A09"/>
    <w:rsid w:val="00164389"/>
    <w:rsid w:val="0016471E"/>
    <w:rsid w:val="00170484"/>
    <w:rsid w:val="00172DB6"/>
    <w:rsid w:val="00175E9E"/>
    <w:rsid w:val="001775DC"/>
    <w:rsid w:val="0018440A"/>
    <w:rsid w:val="00186550"/>
    <w:rsid w:val="0019168B"/>
    <w:rsid w:val="00192816"/>
    <w:rsid w:val="001A29E1"/>
    <w:rsid w:val="001A4F2D"/>
    <w:rsid w:val="001B3B8B"/>
    <w:rsid w:val="001C08CF"/>
    <w:rsid w:val="001C4C64"/>
    <w:rsid w:val="001D2CCB"/>
    <w:rsid w:val="001D2F2B"/>
    <w:rsid w:val="001E1CD6"/>
    <w:rsid w:val="001E48BD"/>
    <w:rsid w:val="001F5961"/>
    <w:rsid w:val="002011E5"/>
    <w:rsid w:val="002037FB"/>
    <w:rsid w:val="00205952"/>
    <w:rsid w:val="00215790"/>
    <w:rsid w:val="002163AB"/>
    <w:rsid w:val="00217595"/>
    <w:rsid w:val="002218A8"/>
    <w:rsid w:val="00225E94"/>
    <w:rsid w:val="00232574"/>
    <w:rsid w:val="00232EF9"/>
    <w:rsid w:val="00234F2D"/>
    <w:rsid w:val="0024255A"/>
    <w:rsid w:val="00246B53"/>
    <w:rsid w:val="002530FF"/>
    <w:rsid w:val="00253394"/>
    <w:rsid w:val="0026747A"/>
    <w:rsid w:val="00267644"/>
    <w:rsid w:val="00270CF9"/>
    <w:rsid w:val="00272473"/>
    <w:rsid w:val="00274D39"/>
    <w:rsid w:val="0028095F"/>
    <w:rsid w:val="00281725"/>
    <w:rsid w:val="002927CD"/>
    <w:rsid w:val="002A20DA"/>
    <w:rsid w:val="002B16F5"/>
    <w:rsid w:val="002C3922"/>
    <w:rsid w:val="002C4CC6"/>
    <w:rsid w:val="002C58C7"/>
    <w:rsid w:val="002D0602"/>
    <w:rsid w:val="002D3F03"/>
    <w:rsid w:val="002D68F7"/>
    <w:rsid w:val="002E4BFB"/>
    <w:rsid w:val="002E61AA"/>
    <w:rsid w:val="002F39DD"/>
    <w:rsid w:val="002F5416"/>
    <w:rsid w:val="002F5782"/>
    <w:rsid w:val="002F6965"/>
    <w:rsid w:val="003011B0"/>
    <w:rsid w:val="0030465C"/>
    <w:rsid w:val="0033150A"/>
    <w:rsid w:val="00333B4A"/>
    <w:rsid w:val="00335E52"/>
    <w:rsid w:val="00352868"/>
    <w:rsid w:val="003529C2"/>
    <w:rsid w:val="0035630B"/>
    <w:rsid w:val="003601BF"/>
    <w:rsid w:val="00361035"/>
    <w:rsid w:val="003735C4"/>
    <w:rsid w:val="003750F3"/>
    <w:rsid w:val="003841E1"/>
    <w:rsid w:val="003931EA"/>
    <w:rsid w:val="00393654"/>
    <w:rsid w:val="003C2B12"/>
    <w:rsid w:val="003C5B1E"/>
    <w:rsid w:val="003D0C9C"/>
    <w:rsid w:val="003D5A4B"/>
    <w:rsid w:val="003E30D3"/>
    <w:rsid w:val="00410320"/>
    <w:rsid w:val="0041461E"/>
    <w:rsid w:val="00414B71"/>
    <w:rsid w:val="004157F0"/>
    <w:rsid w:val="00422E8C"/>
    <w:rsid w:val="00435DC8"/>
    <w:rsid w:val="004403A3"/>
    <w:rsid w:val="004454C3"/>
    <w:rsid w:val="00447F76"/>
    <w:rsid w:val="00453D3B"/>
    <w:rsid w:val="00465C6C"/>
    <w:rsid w:val="0046685F"/>
    <w:rsid w:val="004719FD"/>
    <w:rsid w:val="00473B4B"/>
    <w:rsid w:val="00477795"/>
    <w:rsid w:val="004800A7"/>
    <w:rsid w:val="00492BF4"/>
    <w:rsid w:val="00493995"/>
    <w:rsid w:val="00497B8D"/>
    <w:rsid w:val="004A47AD"/>
    <w:rsid w:val="004A50B3"/>
    <w:rsid w:val="004B1AD4"/>
    <w:rsid w:val="004C2055"/>
    <w:rsid w:val="004C3F50"/>
    <w:rsid w:val="004C4B68"/>
    <w:rsid w:val="004D27AC"/>
    <w:rsid w:val="004D4D5B"/>
    <w:rsid w:val="004F3ABB"/>
    <w:rsid w:val="004F3B0B"/>
    <w:rsid w:val="00501AF8"/>
    <w:rsid w:val="005063D2"/>
    <w:rsid w:val="0051368F"/>
    <w:rsid w:val="00524241"/>
    <w:rsid w:val="00530104"/>
    <w:rsid w:val="005311F2"/>
    <w:rsid w:val="0053142D"/>
    <w:rsid w:val="005327E3"/>
    <w:rsid w:val="005352A5"/>
    <w:rsid w:val="00537FFE"/>
    <w:rsid w:val="00550C31"/>
    <w:rsid w:val="0055255B"/>
    <w:rsid w:val="005528BD"/>
    <w:rsid w:val="00563C49"/>
    <w:rsid w:val="00574F9A"/>
    <w:rsid w:val="0058233B"/>
    <w:rsid w:val="00582DD6"/>
    <w:rsid w:val="00590859"/>
    <w:rsid w:val="00594AEA"/>
    <w:rsid w:val="005A0EBA"/>
    <w:rsid w:val="005A4077"/>
    <w:rsid w:val="005A7180"/>
    <w:rsid w:val="005B0495"/>
    <w:rsid w:val="005B3192"/>
    <w:rsid w:val="005B4629"/>
    <w:rsid w:val="005B7598"/>
    <w:rsid w:val="005C0923"/>
    <w:rsid w:val="005D1F0E"/>
    <w:rsid w:val="005D574A"/>
    <w:rsid w:val="005D78C0"/>
    <w:rsid w:val="005E0AFE"/>
    <w:rsid w:val="005E71AB"/>
    <w:rsid w:val="005F4871"/>
    <w:rsid w:val="005F668A"/>
    <w:rsid w:val="006032B7"/>
    <w:rsid w:val="006060C2"/>
    <w:rsid w:val="00607F82"/>
    <w:rsid w:val="0062442E"/>
    <w:rsid w:val="00624F55"/>
    <w:rsid w:val="006277FC"/>
    <w:rsid w:val="00632B9F"/>
    <w:rsid w:val="00642E62"/>
    <w:rsid w:val="00643B2E"/>
    <w:rsid w:val="00647FE6"/>
    <w:rsid w:val="00662ADA"/>
    <w:rsid w:val="006631E4"/>
    <w:rsid w:val="00664CC1"/>
    <w:rsid w:val="00665305"/>
    <w:rsid w:val="00667627"/>
    <w:rsid w:val="00670E40"/>
    <w:rsid w:val="006726D6"/>
    <w:rsid w:val="00672DEA"/>
    <w:rsid w:val="006804AE"/>
    <w:rsid w:val="006900BF"/>
    <w:rsid w:val="00693B88"/>
    <w:rsid w:val="0069454B"/>
    <w:rsid w:val="00695A2B"/>
    <w:rsid w:val="006976AF"/>
    <w:rsid w:val="006A2C43"/>
    <w:rsid w:val="006B6A70"/>
    <w:rsid w:val="006C1376"/>
    <w:rsid w:val="006C7AFE"/>
    <w:rsid w:val="006D45B5"/>
    <w:rsid w:val="006D726A"/>
    <w:rsid w:val="006E294B"/>
    <w:rsid w:val="006E5AAD"/>
    <w:rsid w:val="006F1638"/>
    <w:rsid w:val="006F2250"/>
    <w:rsid w:val="006F5848"/>
    <w:rsid w:val="006F5B7C"/>
    <w:rsid w:val="006F7C35"/>
    <w:rsid w:val="00703A8A"/>
    <w:rsid w:val="00706968"/>
    <w:rsid w:val="00710627"/>
    <w:rsid w:val="0071710C"/>
    <w:rsid w:val="0073243D"/>
    <w:rsid w:val="00736C2B"/>
    <w:rsid w:val="007378E2"/>
    <w:rsid w:val="00740E6A"/>
    <w:rsid w:val="007434A3"/>
    <w:rsid w:val="00746E62"/>
    <w:rsid w:val="0074790E"/>
    <w:rsid w:val="00750632"/>
    <w:rsid w:val="0076125B"/>
    <w:rsid w:val="00765525"/>
    <w:rsid w:val="007722D0"/>
    <w:rsid w:val="00774FBD"/>
    <w:rsid w:val="00776964"/>
    <w:rsid w:val="007840F1"/>
    <w:rsid w:val="00792E13"/>
    <w:rsid w:val="007B73F9"/>
    <w:rsid w:val="007C425A"/>
    <w:rsid w:val="007C7A3F"/>
    <w:rsid w:val="007E5E06"/>
    <w:rsid w:val="007E6DEA"/>
    <w:rsid w:val="007E7E60"/>
    <w:rsid w:val="007F037B"/>
    <w:rsid w:val="007F6AED"/>
    <w:rsid w:val="008049BD"/>
    <w:rsid w:val="00813E54"/>
    <w:rsid w:val="00826188"/>
    <w:rsid w:val="00840C0D"/>
    <w:rsid w:val="008416CC"/>
    <w:rsid w:val="00844746"/>
    <w:rsid w:val="00845708"/>
    <w:rsid w:val="00853A72"/>
    <w:rsid w:val="008540DA"/>
    <w:rsid w:val="008613D8"/>
    <w:rsid w:val="00861E26"/>
    <w:rsid w:val="00862D04"/>
    <w:rsid w:val="008637A6"/>
    <w:rsid w:val="0087194D"/>
    <w:rsid w:val="0087271F"/>
    <w:rsid w:val="00877A1A"/>
    <w:rsid w:val="00881F49"/>
    <w:rsid w:val="0088280E"/>
    <w:rsid w:val="008832CA"/>
    <w:rsid w:val="008846D1"/>
    <w:rsid w:val="00887324"/>
    <w:rsid w:val="00895110"/>
    <w:rsid w:val="008A2768"/>
    <w:rsid w:val="008A4A6F"/>
    <w:rsid w:val="008B33A0"/>
    <w:rsid w:val="008B4A77"/>
    <w:rsid w:val="008B636C"/>
    <w:rsid w:val="008C1233"/>
    <w:rsid w:val="008D3D8D"/>
    <w:rsid w:val="008D4156"/>
    <w:rsid w:val="008D5776"/>
    <w:rsid w:val="008E3CE0"/>
    <w:rsid w:val="008E7F7D"/>
    <w:rsid w:val="008F4127"/>
    <w:rsid w:val="008F53C9"/>
    <w:rsid w:val="009213A9"/>
    <w:rsid w:val="00924E6F"/>
    <w:rsid w:val="009277F9"/>
    <w:rsid w:val="0093237B"/>
    <w:rsid w:val="009375E0"/>
    <w:rsid w:val="00943F07"/>
    <w:rsid w:val="00945091"/>
    <w:rsid w:val="00945AA0"/>
    <w:rsid w:val="00954099"/>
    <w:rsid w:val="009558F6"/>
    <w:rsid w:val="00956E94"/>
    <w:rsid w:val="009630B9"/>
    <w:rsid w:val="00964599"/>
    <w:rsid w:val="00966C0F"/>
    <w:rsid w:val="0097202C"/>
    <w:rsid w:val="00981DA3"/>
    <w:rsid w:val="00993613"/>
    <w:rsid w:val="009A679B"/>
    <w:rsid w:val="009B12C7"/>
    <w:rsid w:val="009B2123"/>
    <w:rsid w:val="009B4425"/>
    <w:rsid w:val="009B75D6"/>
    <w:rsid w:val="009C168A"/>
    <w:rsid w:val="009C2445"/>
    <w:rsid w:val="009C3C89"/>
    <w:rsid w:val="009C6267"/>
    <w:rsid w:val="009D468F"/>
    <w:rsid w:val="009E0210"/>
    <w:rsid w:val="009E0B2D"/>
    <w:rsid w:val="009E11E0"/>
    <w:rsid w:val="009E385F"/>
    <w:rsid w:val="009E470F"/>
    <w:rsid w:val="00A101AB"/>
    <w:rsid w:val="00A165A3"/>
    <w:rsid w:val="00A21320"/>
    <w:rsid w:val="00A2170F"/>
    <w:rsid w:val="00A27F7D"/>
    <w:rsid w:val="00A30A58"/>
    <w:rsid w:val="00A3314E"/>
    <w:rsid w:val="00A363AC"/>
    <w:rsid w:val="00A458ED"/>
    <w:rsid w:val="00A4635D"/>
    <w:rsid w:val="00A52CA0"/>
    <w:rsid w:val="00A55D1F"/>
    <w:rsid w:val="00A6291E"/>
    <w:rsid w:val="00A62C9F"/>
    <w:rsid w:val="00A62EDB"/>
    <w:rsid w:val="00A6369E"/>
    <w:rsid w:val="00A71803"/>
    <w:rsid w:val="00A724C3"/>
    <w:rsid w:val="00A74A58"/>
    <w:rsid w:val="00A77E45"/>
    <w:rsid w:val="00A82684"/>
    <w:rsid w:val="00AA30EC"/>
    <w:rsid w:val="00AA6628"/>
    <w:rsid w:val="00AA6E6A"/>
    <w:rsid w:val="00AA7266"/>
    <w:rsid w:val="00AA7FF0"/>
    <w:rsid w:val="00AB52D2"/>
    <w:rsid w:val="00AC251D"/>
    <w:rsid w:val="00AC41DB"/>
    <w:rsid w:val="00AC7095"/>
    <w:rsid w:val="00AE1931"/>
    <w:rsid w:val="00AE76D5"/>
    <w:rsid w:val="00AF179D"/>
    <w:rsid w:val="00AF1ABA"/>
    <w:rsid w:val="00B05042"/>
    <w:rsid w:val="00B05182"/>
    <w:rsid w:val="00B05CD3"/>
    <w:rsid w:val="00B15162"/>
    <w:rsid w:val="00B20AE6"/>
    <w:rsid w:val="00B239DC"/>
    <w:rsid w:val="00B26BE7"/>
    <w:rsid w:val="00B301A0"/>
    <w:rsid w:val="00B36D56"/>
    <w:rsid w:val="00B40EA0"/>
    <w:rsid w:val="00B42E84"/>
    <w:rsid w:val="00B507B7"/>
    <w:rsid w:val="00B54DAF"/>
    <w:rsid w:val="00B63728"/>
    <w:rsid w:val="00B70BAA"/>
    <w:rsid w:val="00B7104F"/>
    <w:rsid w:val="00B86978"/>
    <w:rsid w:val="00B943F1"/>
    <w:rsid w:val="00B947EF"/>
    <w:rsid w:val="00BA61D4"/>
    <w:rsid w:val="00BB5202"/>
    <w:rsid w:val="00BC4A74"/>
    <w:rsid w:val="00BD2618"/>
    <w:rsid w:val="00BD41DC"/>
    <w:rsid w:val="00BD5D4E"/>
    <w:rsid w:val="00BD7458"/>
    <w:rsid w:val="00BE08D9"/>
    <w:rsid w:val="00BE6AF1"/>
    <w:rsid w:val="00BF0B49"/>
    <w:rsid w:val="00C05BB8"/>
    <w:rsid w:val="00C07E00"/>
    <w:rsid w:val="00C10224"/>
    <w:rsid w:val="00C12438"/>
    <w:rsid w:val="00C15202"/>
    <w:rsid w:val="00C34746"/>
    <w:rsid w:val="00C41E20"/>
    <w:rsid w:val="00C446D3"/>
    <w:rsid w:val="00C56487"/>
    <w:rsid w:val="00C62131"/>
    <w:rsid w:val="00C65FAC"/>
    <w:rsid w:val="00C75B1D"/>
    <w:rsid w:val="00C761D6"/>
    <w:rsid w:val="00C77A09"/>
    <w:rsid w:val="00C80101"/>
    <w:rsid w:val="00C81E8E"/>
    <w:rsid w:val="00C84FF2"/>
    <w:rsid w:val="00C92C08"/>
    <w:rsid w:val="00C92EB2"/>
    <w:rsid w:val="00C958EF"/>
    <w:rsid w:val="00C978D5"/>
    <w:rsid w:val="00CA413F"/>
    <w:rsid w:val="00CA7C31"/>
    <w:rsid w:val="00CB2C9A"/>
    <w:rsid w:val="00CB59E3"/>
    <w:rsid w:val="00CB784F"/>
    <w:rsid w:val="00CC3034"/>
    <w:rsid w:val="00CC4344"/>
    <w:rsid w:val="00CD1386"/>
    <w:rsid w:val="00CD5C3A"/>
    <w:rsid w:val="00CE0183"/>
    <w:rsid w:val="00CE27AB"/>
    <w:rsid w:val="00CE5B31"/>
    <w:rsid w:val="00CE7A41"/>
    <w:rsid w:val="00CF7C4D"/>
    <w:rsid w:val="00D00FB8"/>
    <w:rsid w:val="00D03E02"/>
    <w:rsid w:val="00D060ED"/>
    <w:rsid w:val="00D101AC"/>
    <w:rsid w:val="00D10539"/>
    <w:rsid w:val="00D10DA4"/>
    <w:rsid w:val="00D12BEB"/>
    <w:rsid w:val="00D17E52"/>
    <w:rsid w:val="00D20A38"/>
    <w:rsid w:val="00D230CE"/>
    <w:rsid w:val="00D35D79"/>
    <w:rsid w:val="00D44B54"/>
    <w:rsid w:val="00D50BB2"/>
    <w:rsid w:val="00D54893"/>
    <w:rsid w:val="00D62C2B"/>
    <w:rsid w:val="00D63219"/>
    <w:rsid w:val="00D64419"/>
    <w:rsid w:val="00D674CD"/>
    <w:rsid w:val="00D67797"/>
    <w:rsid w:val="00D67E60"/>
    <w:rsid w:val="00D72230"/>
    <w:rsid w:val="00D7278E"/>
    <w:rsid w:val="00D747E3"/>
    <w:rsid w:val="00D76B53"/>
    <w:rsid w:val="00D83FD1"/>
    <w:rsid w:val="00D87779"/>
    <w:rsid w:val="00DA4D65"/>
    <w:rsid w:val="00DA64E8"/>
    <w:rsid w:val="00DB01FD"/>
    <w:rsid w:val="00DB11A2"/>
    <w:rsid w:val="00DB12CC"/>
    <w:rsid w:val="00DB2A5F"/>
    <w:rsid w:val="00DB3B25"/>
    <w:rsid w:val="00DB4F1A"/>
    <w:rsid w:val="00DB52B1"/>
    <w:rsid w:val="00DC37BE"/>
    <w:rsid w:val="00DD1A54"/>
    <w:rsid w:val="00DD1CA0"/>
    <w:rsid w:val="00DE2A5A"/>
    <w:rsid w:val="00DE79BE"/>
    <w:rsid w:val="00DF12E9"/>
    <w:rsid w:val="00DF1B32"/>
    <w:rsid w:val="00E025C7"/>
    <w:rsid w:val="00E1176E"/>
    <w:rsid w:val="00E11DFD"/>
    <w:rsid w:val="00E13927"/>
    <w:rsid w:val="00E3348C"/>
    <w:rsid w:val="00E35980"/>
    <w:rsid w:val="00E35F34"/>
    <w:rsid w:val="00E445FA"/>
    <w:rsid w:val="00E475E7"/>
    <w:rsid w:val="00E50636"/>
    <w:rsid w:val="00E51815"/>
    <w:rsid w:val="00E575E8"/>
    <w:rsid w:val="00E611EA"/>
    <w:rsid w:val="00E65B10"/>
    <w:rsid w:val="00E73B81"/>
    <w:rsid w:val="00E95A37"/>
    <w:rsid w:val="00EA2276"/>
    <w:rsid w:val="00EA672A"/>
    <w:rsid w:val="00EA7BE0"/>
    <w:rsid w:val="00EB0D87"/>
    <w:rsid w:val="00EB2CC5"/>
    <w:rsid w:val="00EC1682"/>
    <w:rsid w:val="00EC4787"/>
    <w:rsid w:val="00ED1918"/>
    <w:rsid w:val="00ED279C"/>
    <w:rsid w:val="00ED2DE9"/>
    <w:rsid w:val="00EE3680"/>
    <w:rsid w:val="00EE5C9E"/>
    <w:rsid w:val="00EE5FA2"/>
    <w:rsid w:val="00F0070A"/>
    <w:rsid w:val="00F04685"/>
    <w:rsid w:val="00F04C64"/>
    <w:rsid w:val="00F10932"/>
    <w:rsid w:val="00F22F60"/>
    <w:rsid w:val="00F25AD9"/>
    <w:rsid w:val="00F516F2"/>
    <w:rsid w:val="00F62103"/>
    <w:rsid w:val="00F70BAF"/>
    <w:rsid w:val="00F71CDE"/>
    <w:rsid w:val="00F81273"/>
    <w:rsid w:val="00F830BC"/>
    <w:rsid w:val="00F84636"/>
    <w:rsid w:val="00F93268"/>
    <w:rsid w:val="00F952AE"/>
    <w:rsid w:val="00F958A6"/>
    <w:rsid w:val="00FA3522"/>
    <w:rsid w:val="00FA3EC1"/>
    <w:rsid w:val="00FB1107"/>
    <w:rsid w:val="00FB3429"/>
    <w:rsid w:val="00FC27F7"/>
    <w:rsid w:val="00FC6E6F"/>
    <w:rsid w:val="00FD073D"/>
    <w:rsid w:val="00FD3CD4"/>
    <w:rsid w:val="00FE0740"/>
    <w:rsid w:val="00FE1C82"/>
    <w:rsid w:val="00FE6730"/>
    <w:rsid w:val="00FE70DC"/>
    <w:rsid w:val="00FF3DE6"/>
    <w:rsid w:val="00FF5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heme="maj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3C9"/>
    <w:pPr>
      <w:spacing w:after="180"/>
    </w:pPr>
  </w:style>
  <w:style w:type="paragraph" w:styleId="1">
    <w:name w:val="heading 1"/>
    <w:aliases w:val="H1,Memo Heading 1,h1 + 11 pt,Before:  6 pt,After:  0 pt"/>
    <w:next w:val="a"/>
    <w:link w:val="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2">
    <w:name w:val="heading 2"/>
    <w:basedOn w:val="1"/>
    <w:next w:val="a"/>
    <w:link w:val="2Char"/>
    <w:qFormat/>
    <w:rsid w:val="00F25AD9"/>
    <w:pPr>
      <w:numPr>
        <w:ilvl w:val="1"/>
      </w:numPr>
      <w:pBdr>
        <w:top w:val="none" w:sz="0" w:space="0" w:color="auto"/>
      </w:pBdr>
      <w:spacing w:before="180"/>
      <w:outlineLvl w:val="1"/>
    </w:pPr>
    <w:rPr>
      <w:rFonts w:ascii="Arial" w:eastAsia="Arial" w:hAnsi="Arial"/>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
    <w:link w:val="3Char"/>
    <w:qFormat/>
    <w:rsid w:val="00C81E8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81E8E"/>
    <w:pPr>
      <w:numPr>
        <w:ilvl w:val="3"/>
      </w:numPr>
      <w:outlineLvl w:val="3"/>
    </w:pPr>
    <w:rPr>
      <w:sz w:val="24"/>
    </w:rPr>
  </w:style>
  <w:style w:type="paragraph" w:styleId="5">
    <w:name w:val="heading 5"/>
    <w:aliases w:val="h5,Heading5"/>
    <w:basedOn w:val="4"/>
    <w:next w:val="a"/>
    <w:link w:val="5Char"/>
    <w:qFormat/>
    <w:rsid w:val="00C81E8E"/>
    <w:pPr>
      <w:numPr>
        <w:ilvl w:val="5"/>
      </w:numPr>
      <w:outlineLvl w:val="4"/>
    </w:pPr>
    <w:rPr>
      <w:sz w:val="22"/>
    </w:rPr>
  </w:style>
  <w:style w:type="paragraph" w:styleId="7">
    <w:name w:val="heading 7"/>
    <w:basedOn w:val="a"/>
    <w:next w:val="a"/>
    <w:link w:val="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8">
    <w:name w:val="heading 8"/>
    <w:basedOn w:val="1"/>
    <w:next w:val="a"/>
    <w:link w:val="8Char"/>
    <w:qFormat/>
    <w:rsid w:val="00C81E8E"/>
    <w:pPr>
      <w:numPr>
        <w:ilvl w:val="7"/>
      </w:numPr>
      <w:outlineLvl w:val="7"/>
    </w:pPr>
  </w:style>
  <w:style w:type="paragraph" w:styleId="9">
    <w:name w:val="heading 9"/>
    <w:basedOn w:val="8"/>
    <w:next w:val="a"/>
    <w:link w:val="9Char"/>
    <w:qFormat/>
    <w:rsid w:val="00C81E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A4A6F"/>
    <w:pPr>
      <w:widowControl w:val="0"/>
    </w:pPr>
    <w:rPr>
      <w:rFonts w:ascii="Wingdings" w:hAnsi="Wingdings"/>
      <w:b/>
      <w:noProof/>
      <w:sz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8A4A6F"/>
    <w:rPr>
      <w:rFonts w:ascii="Wingdings" w:eastAsia="宋体" w:hAnsi="Wingdings" w:cs="Wingdings"/>
      <w:b/>
      <w:noProof/>
      <w:sz w:val="18"/>
    </w:rPr>
  </w:style>
  <w:style w:type="paragraph" w:styleId="a4">
    <w:name w:val="footer"/>
    <w:basedOn w:val="a3"/>
    <w:link w:val="Char0"/>
    <w:rsid w:val="008A4A6F"/>
    <w:pPr>
      <w:jc w:val="center"/>
    </w:pPr>
    <w:rPr>
      <w:i/>
    </w:rPr>
  </w:style>
  <w:style w:type="character" w:customStyle="1" w:styleId="Char0">
    <w:name w:val="页脚 Char"/>
    <w:basedOn w:val="a0"/>
    <w:link w:val="a4"/>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1Char">
    <w:name w:val="标题 1 Char"/>
    <w:aliases w:val="H1 Char,Memo Heading 1 Char,h1 + 11 pt Char,Before:  6 pt Char,After:  0 pt Char"/>
    <w:basedOn w:val="a0"/>
    <w:link w:val="1"/>
    <w:rsid w:val="00C81E8E"/>
    <w:rPr>
      <w:rFonts w:ascii="Wingdings" w:eastAsia="Cambria Math" w:hAnsi="Wingdings" w:cs="Wingdings"/>
      <w:sz w:val="36"/>
      <w:lang w:val="en-GB" w:eastAsia="en-US"/>
    </w:rPr>
  </w:style>
  <w:style w:type="character" w:customStyle="1" w:styleId="2Char">
    <w:name w:val="标题 2 Char"/>
    <w:basedOn w:val="a0"/>
    <w:link w:val="2"/>
    <w:rsid w:val="00F25AD9"/>
    <w:rPr>
      <w:rFonts w:ascii="Arial" w:eastAsia="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0"/>
    <w:link w:val="3"/>
    <w:rsid w:val="00C81E8E"/>
    <w:rPr>
      <w:rFonts w:ascii="Wingdings" w:eastAsia="Cambria Math" w:hAnsi="Wingdings" w:cs="Wingdings"/>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81E8E"/>
    <w:rPr>
      <w:rFonts w:ascii="Wingdings" w:eastAsia="Cambria Math" w:hAnsi="Wingdings" w:cs="Wingdings"/>
      <w:sz w:val="24"/>
      <w:lang w:val="en-GB" w:eastAsia="en-US"/>
    </w:rPr>
  </w:style>
  <w:style w:type="character" w:customStyle="1" w:styleId="5Char">
    <w:name w:val="标题 5 Char"/>
    <w:aliases w:val="h5 Char,Heading5 Char"/>
    <w:basedOn w:val="a0"/>
    <w:link w:val="5"/>
    <w:rsid w:val="00C81E8E"/>
    <w:rPr>
      <w:rFonts w:ascii="Wingdings" w:eastAsia="Cambria Math" w:hAnsi="Wingdings" w:cs="Wingdings"/>
      <w:sz w:val="22"/>
      <w:lang w:val="en-GB" w:eastAsia="en-US"/>
    </w:rPr>
  </w:style>
  <w:style w:type="character" w:customStyle="1" w:styleId="7Char">
    <w:name w:val="标题 7 Char"/>
    <w:basedOn w:val="a0"/>
    <w:link w:val="7"/>
    <w:rsid w:val="00C81E8E"/>
    <w:rPr>
      <w:rFonts w:ascii="Wingdings" w:eastAsia="Cambria Math" w:hAnsi="Wingdings" w:cs="Wingdings"/>
      <w:lang w:val="en-GB" w:eastAsia="en-US"/>
    </w:rPr>
  </w:style>
  <w:style w:type="character" w:customStyle="1" w:styleId="8Char">
    <w:name w:val="标题 8 Char"/>
    <w:basedOn w:val="a0"/>
    <w:link w:val="8"/>
    <w:rsid w:val="00C81E8E"/>
    <w:rPr>
      <w:rFonts w:ascii="Wingdings" w:eastAsia="Cambria Math" w:hAnsi="Wingdings" w:cs="Wingdings"/>
      <w:sz w:val="36"/>
      <w:lang w:val="en-GB" w:eastAsia="en-US"/>
    </w:rPr>
  </w:style>
  <w:style w:type="character" w:customStyle="1" w:styleId="9Char">
    <w:name w:val="标题 9 Char"/>
    <w:basedOn w:val="a0"/>
    <w:link w:val="9"/>
    <w:rsid w:val="00C81E8E"/>
    <w:rPr>
      <w:rFonts w:ascii="Wingdings" w:eastAsia="Cambria Math" w:hAnsi="Wingdings" w:cs="Wingdings"/>
      <w:sz w:val="36"/>
      <w:lang w:val="en-GB" w:eastAsia="en-US"/>
    </w:rPr>
  </w:style>
  <w:style w:type="paragraph" w:customStyle="1" w:styleId="TAC">
    <w:name w:val="TAC"/>
    <w:basedOn w:val="a"/>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a"/>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a5">
    <w:name w:val="caption"/>
    <w:basedOn w:val="a"/>
    <w:next w:val="a"/>
    <w:uiPriority w:val="35"/>
    <w:unhideWhenUsed/>
    <w:qFormat/>
    <w:rsid w:val="0097202C"/>
    <w:rPr>
      <w:rFonts w:asciiTheme="majorHAnsi" w:hAnsiTheme="majorHAnsi"/>
    </w:rPr>
  </w:style>
  <w:style w:type="character" w:styleId="a6">
    <w:name w:val="annotation reference"/>
    <w:basedOn w:val="a0"/>
    <w:uiPriority w:val="99"/>
    <w:semiHidden/>
    <w:unhideWhenUsed/>
    <w:rsid w:val="00477795"/>
    <w:rPr>
      <w:sz w:val="21"/>
      <w:szCs w:val="21"/>
    </w:rPr>
  </w:style>
  <w:style w:type="paragraph" w:styleId="a7">
    <w:name w:val="annotation text"/>
    <w:basedOn w:val="a"/>
    <w:link w:val="Char1"/>
    <w:uiPriority w:val="99"/>
    <w:semiHidden/>
    <w:unhideWhenUsed/>
    <w:rsid w:val="00477795"/>
  </w:style>
  <w:style w:type="character" w:customStyle="1" w:styleId="Char1">
    <w:name w:val="批注文字 Char"/>
    <w:basedOn w:val="a0"/>
    <w:link w:val="a7"/>
    <w:uiPriority w:val="99"/>
    <w:semiHidden/>
    <w:rsid w:val="00477795"/>
  </w:style>
  <w:style w:type="paragraph" w:styleId="a8">
    <w:name w:val="annotation subject"/>
    <w:basedOn w:val="a7"/>
    <w:next w:val="a7"/>
    <w:link w:val="Char2"/>
    <w:uiPriority w:val="99"/>
    <w:semiHidden/>
    <w:unhideWhenUsed/>
    <w:rsid w:val="00477795"/>
    <w:rPr>
      <w:b/>
      <w:bCs/>
    </w:rPr>
  </w:style>
  <w:style w:type="character" w:customStyle="1" w:styleId="Char2">
    <w:name w:val="批注主题 Char"/>
    <w:basedOn w:val="Char1"/>
    <w:link w:val="a8"/>
    <w:uiPriority w:val="99"/>
    <w:semiHidden/>
    <w:rsid w:val="00477795"/>
    <w:rPr>
      <w:b/>
      <w:bCs/>
    </w:rPr>
  </w:style>
  <w:style w:type="paragraph" w:styleId="a9">
    <w:name w:val="Balloon Text"/>
    <w:basedOn w:val="a"/>
    <w:link w:val="Char3"/>
    <w:uiPriority w:val="99"/>
    <w:semiHidden/>
    <w:unhideWhenUsed/>
    <w:rsid w:val="00477795"/>
    <w:pPr>
      <w:spacing w:after="0"/>
    </w:pPr>
    <w:rPr>
      <w:sz w:val="18"/>
      <w:szCs w:val="18"/>
    </w:rPr>
  </w:style>
  <w:style w:type="character" w:customStyle="1" w:styleId="Char3">
    <w:name w:val="批注框文本 Char"/>
    <w:basedOn w:val="a0"/>
    <w:link w:val="a9"/>
    <w:uiPriority w:val="99"/>
    <w:semiHidden/>
    <w:rsid w:val="00477795"/>
    <w:rPr>
      <w:sz w:val="18"/>
      <w:szCs w:val="18"/>
    </w:rPr>
  </w:style>
  <w:style w:type="paragraph" w:styleId="aa">
    <w:name w:val="List Paragraph"/>
    <w:aliases w:val="- Bullets,목록 단락,?? ??,?????,????,リスト段落,Lista1"/>
    <w:basedOn w:val="a"/>
    <w:link w:val="Char4"/>
    <w:uiPriority w:val="34"/>
    <w:qFormat/>
    <w:rsid w:val="009A679B"/>
    <w:pPr>
      <w:ind w:firstLineChars="200" w:firstLine="420"/>
    </w:pPr>
  </w:style>
  <w:style w:type="table" w:styleId="ab">
    <w:name w:val="Table Grid"/>
    <w:basedOn w:val="a1"/>
    <w:rsid w:val="00216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a0"/>
    <w:link w:val="TF"/>
    <w:rsid w:val="003E30D3"/>
    <w:rPr>
      <w:rFonts w:ascii="Arial" w:eastAsia="MS Mincho" w:hAnsi="Arial" w:cs="Times New Roman"/>
      <w:b/>
      <w:lang w:val="en-GB" w:eastAsia="en-US"/>
    </w:rPr>
  </w:style>
  <w:style w:type="paragraph" w:customStyle="1" w:styleId="B1">
    <w:name w:val="B1"/>
    <w:basedOn w:val="ac"/>
    <w:link w:val="B1Zchn"/>
    <w:rsid w:val="00DB3B25"/>
    <w:pPr>
      <w:ind w:left="568" w:firstLineChars="0" w:hanging="284"/>
      <w:contextualSpacing w:val="0"/>
    </w:pPr>
    <w:rPr>
      <w:rFonts w:eastAsia="MS Mincho" w:cs="Times New Roman"/>
      <w:lang w:val="en-GB" w:eastAsia="en-US"/>
    </w:rPr>
  </w:style>
  <w:style w:type="character" w:customStyle="1" w:styleId="B1Zchn">
    <w:name w:val="B1 Zchn"/>
    <w:basedOn w:val="a0"/>
    <w:link w:val="B1"/>
    <w:rsid w:val="00DB3B25"/>
    <w:rPr>
      <w:rFonts w:eastAsia="MS Mincho" w:cs="Times New Roman"/>
      <w:lang w:val="en-GB" w:eastAsia="en-US"/>
    </w:rPr>
  </w:style>
  <w:style w:type="paragraph" w:styleId="ac">
    <w:name w:val="List"/>
    <w:basedOn w:val="a"/>
    <w:uiPriority w:val="99"/>
    <w:semiHidden/>
    <w:unhideWhenUsed/>
    <w:rsid w:val="00DB3B25"/>
    <w:pPr>
      <w:ind w:left="200" w:hangingChars="200" w:hanging="200"/>
      <w:contextualSpacing/>
    </w:pPr>
  </w:style>
  <w:style w:type="character" w:customStyle="1" w:styleId="Char4">
    <w:name w:val="列出段落 Char"/>
    <w:aliases w:val="- Bullets Char,목록 단락 Char,?? ?? Char,????? Char,???? Char,リスト段落 Char,Lista1 Char"/>
    <w:link w:val="aa"/>
    <w:uiPriority w:val="34"/>
    <w:qFormat/>
    <w:locked/>
    <w:rsid w:val="00001017"/>
  </w:style>
  <w:style w:type="paragraph" w:customStyle="1" w:styleId="TAL">
    <w:name w:val="TAL"/>
    <w:basedOn w:val="a"/>
    <w:link w:val="TALChar"/>
    <w:rsid w:val="00C92C08"/>
    <w:pPr>
      <w:keepNext/>
      <w:keepLines/>
      <w:spacing w:after="0"/>
    </w:pPr>
    <w:rPr>
      <w:rFonts w:ascii="Arial" w:eastAsiaTheme="minorEastAsia" w:hAnsi="Arial" w:cs="Times New Roman"/>
      <w:sz w:val="18"/>
      <w:lang w:val="en-GB" w:eastAsia="en-US"/>
    </w:rPr>
  </w:style>
  <w:style w:type="character" w:customStyle="1" w:styleId="TALChar">
    <w:name w:val="TAL Char"/>
    <w:link w:val="TAL"/>
    <w:locked/>
    <w:rsid w:val="00C92C08"/>
    <w:rPr>
      <w:rFonts w:ascii="Arial" w:eastAsiaTheme="minorEastAsia" w:hAnsi="Arial" w:cs="Times New Roman"/>
      <w:sz w:val="18"/>
      <w:lang w:val="en-GB" w:eastAsia="en-US"/>
    </w:rPr>
  </w:style>
  <w:style w:type="character" w:customStyle="1" w:styleId="textblue2">
    <w:name w:val="text_blue2"/>
    <w:basedOn w:val="a0"/>
    <w:rsid w:val="00FE6730"/>
  </w:style>
  <w:style w:type="character" w:customStyle="1" w:styleId="B1Char1">
    <w:name w:val="B1 Char1"/>
    <w:rsid w:val="00EC4787"/>
    <w:rPr>
      <w:rFonts w:eastAsia="Times New Roman"/>
    </w:rPr>
  </w:style>
  <w:style w:type="paragraph" w:customStyle="1" w:styleId="B2">
    <w:name w:val="B2"/>
    <w:basedOn w:val="20"/>
    <w:rsid w:val="00EC4787"/>
    <w:pPr>
      <w:overflowPunct w:val="0"/>
      <w:autoSpaceDE w:val="0"/>
      <w:autoSpaceDN w:val="0"/>
      <w:adjustRightInd w:val="0"/>
      <w:ind w:leftChars="0" w:left="851" w:firstLineChars="0" w:hanging="284"/>
      <w:contextualSpacing w:val="0"/>
      <w:textAlignment w:val="baseline"/>
    </w:pPr>
    <w:rPr>
      <w:rFonts w:eastAsia="Times New Roman" w:cs="Times New Roman"/>
      <w:lang w:val="en-GB" w:eastAsia="en-GB"/>
    </w:rPr>
  </w:style>
  <w:style w:type="paragraph" w:customStyle="1" w:styleId="B3">
    <w:name w:val="B3"/>
    <w:basedOn w:val="30"/>
    <w:link w:val="B3Char"/>
    <w:rsid w:val="00EC4787"/>
    <w:pPr>
      <w:overflowPunct w:val="0"/>
      <w:autoSpaceDE w:val="0"/>
      <w:autoSpaceDN w:val="0"/>
      <w:adjustRightInd w:val="0"/>
      <w:ind w:leftChars="0" w:left="1135" w:firstLineChars="0" w:hanging="284"/>
      <w:contextualSpacing w:val="0"/>
      <w:textAlignment w:val="baseline"/>
    </w:pPr>
    <w:rPr>
      <w:rFonts w:eastAsia="Times New Roman" w:cs="Times New Roman"/>
      <w:lang w:val="en-GB" w:eastAsia="en-GB"/>
    </w:rPr>
  </w:style>
  <w:style w:type="character" w:customStyle="1" w:styleId="B3Char">
    <w:name w:val="B3 Char"/>
    <w:link w:val="B3"/>
    <w:rsid w:val="00EC4787"/>
    <w:rPr>
      <w:rFonts w:eastAsia="Times New Roman" w:cs="Times New Roman"/>
      <w:lang w:val="en-GB" w:eastAsia="en-GB"/>
    </w:rPr>
  </w:style>
  <w:style w:type="paragraph" w:styleId="20">
    <w:name w:val="List 2"/>
    <w:basedOn w:val="a"/>
    <w:uiPriority w:val="99"/>
    <w:semiHidden/>
    <w:unhideWhenUsed/>
    <w:rsid w:val="00EC4787"/>
    <w:pPr>
      <w:ind w:leftChars="200" w:left="100" w:hangingChars="200" w:hanging="200"/>
      <w:contextualSpacing/>
    </w:pPr>
  </w:style>
  <w:style w:type="paragraph" w:styleId="30">
    <w:name w:val="List 3"/>
    <w:basedOn w:val="a"/>
    <w:uiPriority w:val="99"/>
    <w:semiHidden/>
    <w:unhideWhenUsed/>
    <w:rsid w:val="00EC4787"/>
    <w:pPr>
      <w:ind w:leftChars="400" w:left="100" w:hangingChars="200" w:hanging="200"/>
      <w:contextualSpacing/>
    </w:pPr>
  </w:style>
  <w:style w:type="character" w:styleId="ad">
    <w:name w:val="Placeholder Text"/>
    <w:basedOn w:val="a0"/>
    <w:uiPriority w:val="99"/>
    <w:semiHidden/>
    <w:rsid w:val="00D64419"/>
    <w:rPr>
      <w:color w:val="808080"/>
    </w:rPr>
  </w:style>
  <w:style w:type="character" w:styleId="ae">
    <w:name w:val="Hyperlink"/>
    <w:uiPriority w:val="99"/>
    <w:unhideWhenUsed/>
    <w:rsid w:val="00993613"/>
    <w:rPr>
      <w:color w:val="0000FF"/>
      <w:u w:val="single"/>
    </w:rPr>
  </w:style>
  <w:style w:type="paragraph" w:styleId="af">
    <w:name w:val="Normal (Web)"/>
    <w:basedOn w:val="a"/>
    <w:uiPriority w:val="99"/>
    <w:semiHidden/>
    <w:unhideWhenUsed/>
    <w:rsid w:val="000F2281"/>
    <w:pPr>
      <w:spacing w:before="100" w:beforeAutospacing="1" w:after="100" w:afterAutospacing="1"/>
    </w:pPr>
    <w:rPr>
      <w:rFonts w:ascii="宋体" w:eastAsia="宋体" w:hAnsi="宋体" w:cs="宋体"/>
      <w:sz w:val="24"/>
      <w:szCs w:val="24"/>
    </w:rPr>
  </w:style>
  <w:style w:type="paragraph" w:customStyle="1" w:styleId="PL">
    <w:name w:val="PL"/>
    <w:link w:val="PLChar"/>
    <w:rsid w:val="00F83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rsid w:val="00F830BC"/>
    <w:rPr>
      <w:rFonts w:ascii="Courier New" w:eastAsia="Times New Roman" w:hAnsi="Courier New" w:cs="Times New Roman"/>
      <w:noProof/>
      <w:sz w:val="16"/>
    </w:rPr>
  </w:style>
  <w:style w:type="paragraph" w:customStyle="1" w:styleId="Doc-text2">
    <w:name w:val="Doc-text2"/>
    <w:basedOn w:val="a"/>
    <w:link w:val="Doc-text2Char"/>
    <w:qFormat/>
    <w:rsid w:val="005B4629"/>
    <w:pPr>
      <w:tabs>
        <w:tab w:val="left" w:pos="1622"/>
      </w:tabs>
      <w:spacing w:after="0"/>
      <w:ind w:left="1622" w:hanging="363"/>
    </w:pPr>
    <w:rPr>
      <w:rFonts w:ascii="Arial" w:eastAsia="MS Mincho" w:hAnsi="Arial" w:cs="Times New Roman"/>
      <w:szCs w:val="24"/>
      <w:lang w:val="en-GB" w:eastAsia="en-GB"/>
    </w:rPr>
  </w:style>
  <w:style w:type="character" w:customStyle="1" w:styleId="Doc-text2Char">
    <w:name w:val="Doc-text2 Char"/>
    <w:link w:val="Doc-text2"/>
    <w:rsid w:val="005B4629"/>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164840">
      <w:bodyDiv w:val="1"/>
      <w:marLeft w:val="0"/>
      <w:marRight w:val="0"/>
      <w:marTop w:val="0"/>
      <w:marBottom w:val="0"/>
      <w:divBdr>
        <w:top w:val="none" w:sz="0" w:space="0" w:color="auto"/>
        <w:left w:val="none" w:sz="0" w:space="0" w:color="auto"/>
        <w:bottom w:val="none" w:sz="0" w:space="0" w:color="auto"/>
        <w:right w:val="none" w:sz="0" w:space="0" w:color="auto"/>
      </w:divBdr>
    </w:div>
    <w:div w:id="970477681">
      <w:bodyDiv w:val="1"/>
      <w:marLeft w:val="0"/>
      <w:marRight w:val="0"/>
      <w:marTop w:val="0"/>
      <w:marBottom w:val="0"/>
      <w:divBdr>
        <w:top w:val="none" w:sz="0" w:space="0" w:color="auto"/>
        <w:left w:val="none" w:sz="0" w:space="0" w:color="auto"/>
        <w:bottom w:val="none" w:sz="0" w:space="0" w:color="auto"/>
        <w:right w:val="none" w:sz="0" w:space="0" w:color="auto"/>
      </w:divBdr>
    </w:div>
    <w:div w:id="977339457">
      <w:bodyDiv w:val="1"/>
      <w:marLeft w:val="0"/>
      <w:marRight w:val="0"/>
      <w:marTop w:val="0"/>
      <w:marBottom w:val="0"/>
      <w:divBdr>
        <w:top w:val="none" w:sz="0" w:space="0" w:color="auto"/>
        <w:left w:val="none" w:sz="0" w:space="0" w:color="auto"/>
        <w:bottom w:val="none" w:sz="0" w:space="0" w:color="auto"/>
        <w:right w:val="none" w:sz="0" w:space="0" w:color="auto"/>
      </w:divBdr>
    </w:div>
    <w:div w:id="1010373772">
      <w:bodyDiv w:val="1"/>
      <w:marLeft w:val="0"/>
      <w:marRight w:val="0"/>
      <w:marTop w:val="0"/>
      <w:marBottom w:val="0"/>
      <w:divBdr>
        <w:top w:val="none" w:sz="0" w:space="0" w:color="auto"/>
        <w:left w:val="none" w:sz="0" w:space="0" w:color="auto"/>
        <w:bottom w:val="none" w:sz="0" w:space="0" w:color="auto"/>
        <w:right w:val="none" w:sz="0" w:space="0" w:color="auto"/>
      </w:divBdr>
      <w:divsChild>
        <w:div w:id="1991204227">
          <w:marLeft w:val="0"/>
          <w:marRight w:val="0"/>
          <w:marTop w:val="0"/>
          <w:marBottom w:val="0"/>
          <w:divBdr>
            <w:top w:val="none" w:sz="0" w:space="0" w:color="auto"/>
            <w:left w:val="none" w:sz="0" w:space="0" w:color="auto"/>
            <w:bottom w:val="none" w:sz="0" w:space="0" w:color="auto"/>
            <w:right w:val="none" w:sz="0" w:space="0" w:color="auto"/>
          </w:divBdr>
          <w:divsChild>
            <w:div w:id="598026609">
              <w:marLeft w:val="0"/>
              <w:marRight w:val="60"/>
              <w:marTop w:val="0"/>
              <w:marBottom w:val="0"/>
              <w:divBdr>
                <w:top w:val="none" w:sz="0" w:space="0" w:color="auto"/>
                <w:left w:val="none" w:sz="0" w:space="0" w:color="auto"/>
                <w:bottom w:val="none" w:sz="0" w:space="0" w:color="auto"/>
                <w:right w:val="none" w:sz="0" w:space="0" w:color="auto"/>
              </w:divBdr>
              <w:divsChild>
                <w:div w:id="639771684">
                  <w:marLeft w:val="0"/>
                  <w:marRight w:val="0"/>
                  <w:marTop w:val="0"/>
                  <w:marBottom w:val="120"/>
                  <w:divBdr>
                    <w:top w:val="single" w:sz="6" w:space="0" w:color="C0C0C0"/>
                    <w:left w:val="single" w:sz="6" w:space="0" w:color="D9D9D9"/>
                    <w:bottom w:val="single" w:sz="6" w:space="0" w:color="D9D9D9"/>
                    <w:right w:val="single" w:sz="6" w:space="0" w:color="D9D9D9"/>
                  </w:divBdr>
                  <w:divsChild>
                    <w:div w:id="583421947">
                      <w:marLeft w:val="0"/>
                      <w:marRight w:val="0"/>
                      <w:marTop w:val="0"/>
                      <w:marBottom w:val="0"/>
                      <w:divBdr>
                        <w:top w:val="none" w:sz="0" w:space="0" w:color="auto"/>
                        <w:left w:val="none" w:sz="0" w:space="0" w:color="auto"/>
                        <w:bottom w:val="none" w:sz="0" w:space="0" w:color="auto"/>
                        <w:right w:val="none" w:sz="0" w:space="0" w:color="auto"/>
                      </w:divBdr>
                    </w:div>
                    <w:div w:id="1580942462">
                      <w:marLeft w:val="0"/>
                      <w:marRight w:val="0"/>
                      <w:marTop w:val="0"/>
                      <w:marBottom w:val="0"/>
                      <w:divBdr>
                        <w:top w:val="none" w:sz="0" w:space="0" w:color="auto"/>
                        <w:left w:val="none" w:sz="0" w:space="0" w:color="auto"/>
                        <w:bottom w:val="none" w:sz="0" w:space="0" w:color="auto"/>
                        <w:right w:val="none" w:sz="0" w:space="0" w:color="auto"/>
                      </w:divBdr>
                    </w:div>
                  </w:divsChild>
                </w:div>
                <w:div w:id="40148962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677423015">
          <w:marLeft w:val="0"/>
          <w:marRight w:val="0"/>
          <w:marTop w:val="0"/>
          <w:marBottom w:val="0"/>
          <w:divBdr>
            <w:top w:val="none" w:sz="0" w:space="0" w:color="auto"/>
            <w:left w:val="none" w:sz="0" w:space="0" w:color="auto"/>
            <w:bottom w:val="none" w:sz="0" w:space="0" w:color="auto"/>
            <w:right w:val="none" w:sz="0" w:space="0" w:color="auto"/>
          </w:divBdr>
          <w:divsChild>
            <w:div w:id="1178619789">
              <w:marLeft w:val="60"/>
              <w:marRight w:val="0"/>
              <w:marTop w:val="0"/>
              <w:marBottom w:val="0"/>
              <w:divBdr>
                <w:top w:val="none" w:sz="0" w:space="0" w:color="auto"/>
                <w:left w:val="none" w:sz="0" w:space="0" w:color="auto"/>
                <w:bottom w:val="none" w:sz="0" w:space="0" w:color="auto"/>
                <w:right w:val="none" w:sz="0" w:space="0" w:color="auto"/>
              </w:divBdr>
              <w:divsChild>
                <w:div w:id="1043217657">
                  <w:marLeft w:val="0"/>
                  <w:marRight w:val="0"/>
                  <w:marTop w:val="0"/>
                  <w:marBottom w:val="0"/>
                  <w:divBdr>
                    <w:top w:val="none" w:sz="0" w:space="0" w:color="auto"/>
                    <w:left w:val="none" w:sz="0" w:space="0" w:color="auto"/>
                    <w:bottom w:val="none" w:sz="0" w:space="0" w:color="auto"/>
                    <w:right w:val="none" w:sz="0" w:space="0" w:color="auto"/>
                  </w:divBdr>
                  <w:divsChild>
                    <w:div w:id="538250029">
                      <w:marLeft w:val="0"/>
                      <w:marRight w:val="0"/>
                      <w:marTop w:val="0"/>
                      <w:marBottom w:val="120"/>
                      <w:divBdr>
                        <w:top w:val="single" w:sz="6" w:space="0" w:color="F5F5F5"/>
                        <w:left w:val="single" w:sz="6" w:space="0" w:color="F5F5F5"/>
                        <w:bottom w:val="single" w:sz="6" w:space="0" w:color="F5F5F5"/>
                        <w:right w:val="single" w:sz="6" w:space="0" w:color="F5F5F5"/>
                      </w:divBdr>
                      <w:divsChild>
                        <w:div w:id="1505389943">
                          <w:marLeft w:val="0"/>
                          <w:marRight w:val="0"/>
                          <w:marTop w:val="0"/>
                          <w:marBottom w:val="0"/>
                          <w:divBdr>
                            <w:top w:val="none" w:sz="0" w:space="0" w:color="auto"/>
                            <w:left w:val="none" w:sz="0" w:space="0" w:color="auto"/>
                            <w:bottom w:val="none" w:sz="0" w:space="0" w:color="auto"/>
                            <w:right w:val="none" w:sz="0" w:space="0" w:color="auto"/>
                          </w:divBdr>
                          <w:divsChild>
                            <w:div w:id="20982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386569">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810903824">
      <w:bodyDiv w:val="1"/>
      <w:marLeft w:val="0"/>
      <w:marRight w:val="0"/>
      <w:marTop w:val="0"/>
      <w:marBottom w:val="0"/>
      <w:divBdr>
        <w:top w:val="none" w:sz="0" w:space="0" w:color="auto"/>
        <w:left w:val="none" w:sz="0" w:space="0" w:color="auto"/>
        <w:bottom w:val="none" w:sz="0" w:space="0" w:color="auto"/>
        <w:right w:val="none" w:sz="0" w:space="0" w:color="auto"/>
      </w:divBdr>
      <w:divsChild>
        <w:div w:id="1774402933">
          <w:marLeft w:val="547"/>
          <w:marRight w:val="0"/>
          <w:marTop w:val="154"/>
          <w:marBottom w:val="0"/>
          <w:divBdr>
            <w:top w:val="none" w:sz="0" w:space="0" w:color="auto"/>
            <w:left w:val="none" w:sz="0" w:space="0" w:color="auto"/>
            <w:bottom w:val="none" w:sz="0" w:space="0" w:color="auto"/>
            <w:right w:val="none" w:sz="0" w:space="0" w:color="auto"/>
          </w:divBdr>
        </w:div>
        <w:div w:id="1375736579">
          <w:marLeft w:val="1166"/>
          <w:marRight w:val="0"/>
          <w:marTop w:val="134"/>
          <w:marBottom w:val="0"/>
          <w:divBdr>
            <w:top w:val="none" w:sz="0" w:space="0" w:color="auto"/>
            <w:left w:val="none" w:sz="0" w:space="0" w:color="auto"/>
            <w:bottom w:val="none" w:sz="0" w:space="0" w:color="auto"/>
            <w:right w:val="none" w:sz="0" w:space="0" w:color="auto"/>
          </w:divBdr>
        </w:div>
      </w:divsChild>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 w:id="1981300831">
      <w:bodyDiv w:val="1"/>
      <w:marLeft w:val="0"/>
      <w:marRight w:val="0"/>
      <w:marTop w:val="0"/>
      <w:marBottom w:val="0"/>
      <w:divBdr>
        <w:top w:val="none" w:sz="0" w:space="0" w:color="auto"/>
        <w:left w:val="none" w:sz="0" w:space="0" w:color="auto"/>
        <w:bottom w:val="none" w:sz="0" w:space="0" w:color="auto"/>
        <w:right w:val="none" w:sz="0" w:space="0" w:color="auto"/>
      </w:divBdr>
      <w:divsChild>
        <w:div w:id="1900746698">
          <w:marLeft w:val="0"/>
          <w:marRight w:val="0"/>
          <w:marTop w:val="0"/>
          <w:marBottom w:val="0"/>
          <w:divBdr>
            <w:top w:val="none" w:sz="0" w:space="0" w:color="auto"/>
            <w:left w:val="none" w:sz="0" w:space="0" w:color="auto"/>
            <w:bottom w:val="none" w:sz="0" w:space="0" w:color="auto"/>
            <w:right w:val="none" w:sz="0" w:space="0" w:color="auto"/>
          </w:divBdr>
          <w:divsChild>
            <w:div w:id="2026785810">
              <w:marLeft w:val="0"/>
              <w:marRight w:val="60"/>
              <w:marTop w:val="0"/>
              <w:marBottom w:val="0"/>
              <w:divBdr>
                <w:top w:val="none" w:sz="0" w:space="0" w:color="auto"/>
                <w:left w:val="none" w:sz="0" w:space="0" w:color="auto"/>
                <w:bottom w:val="none" w:sz="0" w:space="0" w:color="auto"/>
                <w:right w:val="none" w:sz="0" w:space="0" w:color="auto"/>
              </w:divBdr>
              <w:divsChild>
                <w:div w:id="1081953367">
                  <w:marLeft w:val="0"/>
                  <w:marRight w:val="0"/>
                  <w:marTop w:val="0"/>
                  <w:marBottom w:val="120"/>
                  <w:divBdr>
                    <w:top w:val="single" w:sz="6" w:space="0" w:color="C0C0C0"/>
                    <w:left w:val="single" w:sz="6" w:space="0" w:color="D9D9D9"/>
                    <w:bottom w:val="single" w:sz="6" w:space="0" w:color="D9D9D9"/>
                    <w:right w:val="single" w:sz="6" w:space="0" w:color="D9D9D9"/>
                  </w:divBdr>
                  <w:divsChild>
                    <w:div w:id="203059562">
                      <w:marLeft w:val="0"/>
                      <w:marRight w:val="0"/>
                      <w:marTop w:val="0"/>
                      <w:marBottom w:val="0"/>
                      <w:divBdr>
                        <w:top w:val="none" w:sz="0" w:space="0" w:color="auto"/>
                        <w:left w:val="none" w:sz="0" w:space="0" w:color="auto"/>
                        <w:bottom w:val="none" w:sz="0" w:space="0" w:color="auto"/>
                        <w:right w:val="none" w:sz="0" w:space="0" w:color="auto"/>
                      </w:divBdr>
                    </w:div>
                    <w:div w:id="632948204">
                      <w:marLeft w:val="0"/>
                      <w:marRight w:val="0"/>
                      <w:marTop w:val="0"/>
                      <w:marBottom w:val="0"/>
                      <w:divBdr>
                        <w:top w:val="none" w:sz="0" w:space="0" w:color="auto"/>
                        <w:left w:val="none" w:sz="0" w:space="0" w:color="auto"/>
                        <w:bottom w:val="none" w:sz="0" w:space="0" w:color="auto"/>
                        <w:right w:val="none" w:sz="0" w:space="0" w:color="auto"/>
                      </w:divBdr>
                    </w:div>
                  </w:divsChild>
                </w:div>
                <w:div w:id="120228140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617876487">
          <w:marLeft w:val="0"/>
          <w:marRight w:val="0"/>
          <w:marTop w:val="0"/>
          <w:marBottom w:val="0"/>
          <w:divBdr>
            <w:top w:val="none" w:sz="0" w:space="0" w:color="auto"/>
            <w:left w:val="none" w:sz="0" w:space="0" w:color="auto"/>
            <w:bottom w:val="none" w:sz="0" w:space="0" w:color="auto"/>
            <w:right w:val="none" w:sz="0" w:space="0" w:color="auto"/>
          </w:divBdr>
          <w:divsChild>
            <w:div w:id="1480541113">
              <w:marLeft w:val="60"/>
              <w:marRight w:val="0"/>
              <w:marTop w:val="0"/>
              <w:marBottom w:val="0"/>
              <w:divBdr>
                <w:top w:val="none" w:sz="0" w:space="0" w:color="auto"/>
                <w:left w:val="none" w:sz="0" w:space="0" w:color="auto"/>
                <w:bottom w:val="none" w:sz="0" w:space="0" w:color="auto"/>
                <w:right w:val="none" w:sz="0" w:space="0" w:color="auto"/>
              </w:divBdr>
              <w:divsChild>
                <w:div w:id="1238127080">
                  <w:marLeft w:val="0"/>
                  <w:marRight w:val="0"/>
                  <w:marTop w:val="0"/>
                  <w:marBottom w:val="0"/>
                  <w:divBdr>
                    <w:top w:val="none" w:sz="0" w:space="0" w:color="auto"/>
                    <w:left w:val="none" w:sz="0" w:space="0" w:color="auto"/>
                    <w:bottom w:val="none" w:sz="0" w:space="0" w:color="auto"/>
                    <w:right w:val="none" w:sz="0" w:space="0" w:color="auto"/>
                  </w:divBdr>
                  <w:divsChild>
                    <w:div w:id="700859062">
                      <w:marLeft w:val="0"/>
                      <w:marRight w:val="0"/>
                      <w:marTop w:val="0"/>
                      <w:marBottom w:val="120"/>
                      <w:divBdr>
                        <w:top w:val="single" w:sz="6" w:space="0" w:color="F5F5F5"/>
                        <w:left w:val="single" w:sz="6" w:space="0" w:color="F5F5F5"/>
                        <w:bottom w:val="single" w:sz="6" w:space="0" w:color="F5F5F5"/>
                        <w:right w:val="single" w:sz="6" w:space="0" w:color="F5F5F5"/>
                      </w:divBdr>
                      <w:divsChild>
                        <w:div w:id="2131849789">
                          <w:marLeft w:val="0"/>
                          <w:marRight w:val="0"/>
                          <w:marTop w:val="0"/>
                          <w:marBottom w:val="0"/>
                          <w:divBdr>
                            <w:top w:val="none" w:sz="0" w:space="0" w:color="auto"/>
                            <w:left w:val="none" w:sz="0" w:space="0" w:color="auto"/>
                            <w:bottom w:val="none" w:sz="0" w:space="0" w:color="auto"/>
                            <w:right w:val="none" w:sz="0" w:space="0" w:color="auto"/>
                          </w:divBdr>
                          <w:divsChild>
                            <w:div w:id="9510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767539">
      <w:bodyDiv w:val="1"/>
      <w:marLeft w:val="0"/>
      <w:marRight w:val="0"/>
      <w:marTop w:val="0"/>
      <w:marBottom w:val="0"/>
      <w:divBdr>
        <w:top w:val="none" w:sz="0" w:space="0" w:color="auto"/>
        <w:left w:val="none" w:sz="0" w:space="0" w:color="auto"/>
        <w:bottom w:val="none" w:sz="0" w:space="0" w:color="auto"/>
        <w:right w:val="none" w:sz="0" w:space="0" w:color="auto"/>
      </w:divBdr>
      <w:divsChild>
        <w:div w:id="737168650">
          <w:marLeft w:val="446"/>
          <w:marRight w:val="0"/>
          <w:marTop w:val="0"/>
          <w:marBottom w:val="0"/>
          <w:divBdr>
            <w:top w:val="none" w:sz="0" w:space="0" w:color="auto"/>
            <w:left w:val="none" w:sz="0" w:space="0" w:color="auto"/>
            <w:bottom w:val="none" w:sz="0" w:space="0" w:color="auto"/>
            <w:right w:val="none" w:sz="0" w:space="0" w:color="auto"/>
          </w:divBdr>
        </w:div>
        <w:div w:id="673531266">
          <w:marLeft w:val="1166"/>
          <w:marRight w:val="0"/>
          <w:marTop w:val="0"/>
          <w:marBottom w:val="0"/>
          <w:divBdr>
            <w:top w:val="none" w:sz="0" w:space="0" w:color="auto"/>
            <w:left w:val="none" w:sz="0" w:space="0" w:color="auto"/>
            <w:bottom w:val="none" w:sz="0" w:space="0" w:color="auto"/>
            <w:right w:val="none" w:sz="0" w:space="0" w:color="auto"/>
          </w:divBdr>
        </w:div>
        <w:div w:id="1808625919">
          <w:marLeft w:val="1886"/>
          <w:marRight w:val="0"/>
          <w:marTop w:val="0"/>
          <w:marBottom w:val="0"/>
          <w:divBdr>
            <w:top w:val="none" w:sz="0" w:space="0" w:color="auto"/>
            <w:left w:val="none" w:sz="0" w:space="0" w:color="auto"/>
            <w:bottom w:val="none" w:sz="0" w:space="0" w:color="auto"/>
            <w:right w:val="none" w:sz="0" w:space="0" w:color="auto"/>
          </w:divBdr>
        </w:div>
        <w:div w:id="1358848651">
          <w:marLeft w:val="2606"/>
          <w:marRight w:val="0"/>
          <w:marTop w:val="0"/>
          <w:marBottom w:val="0"/>
          <w:divBdr>
            <w:top w:val="none" w:sz="0" w:space="0" w:color="auto"/>
            <w:left w:val="none" w:sz="0" w:space="0" w:color="auto"/>
            <w:bottom w:val="none" w:sz="0" w:space="0" w:color="auto"/>
            <w:right w:val="none" w:sz="0" w:space="0" w:color="auto"/>
          </w:divBdr>
        </w:div>
        <w:div w:id="1940480548">
          <w:marLeft w:val="1166"/>
          <w:marRight w:val="0"/>
          <w:marTop w:val="0"/>
          <w:marBottom w:val="0"/>
          <w:divBdr>
            <w:top w:val="none" w:sz="0" w:space="0" w:color="auto"/>
            <w:left w:val="none" w:sz="0" w:space="0" w:color="auto"/>
            <w:bottom w:val="none" w:sz="0" w:space="0" w:color="auto"/>
            <w:right w:val="none" w:sz="0" w:space="0" w:color="auto"/>
          </w:divBdr>
        </w:div>
        <w:div w:id="1165361613">
          <w:marLeft w:val="1886"/>
          <w:marRight w:val="0"/>
          <w:marTop w:val="0"/>
          <w:marBottom w:val="0"/>
          <w:divBdr>
            <w:top w:val="none" w:sz="0" w:space="0" w:color="auto"/>
            <w:left w:val="none" w:sz="0" w:space="0" w:color="auto"/>
            <w:bottom w:val="none" w:sz="0" w:space="0" w:color="auto"/>
            <w:right w:val="none" w:sz="0" w:space="0" w:color="auto"/>
          </w:divBdr>
        </w:div>
        <w:div w:id="471023055">
          <w:marLeft w:val="1886"/>
          <w:marRight w:val="0"/>
          <w:marTop w:val="0"/>
          <w:marBottom w:val="0"/>
          <w:divBdr>
            <w:top w:val="none" w:sz="0" w:space="0" w:color="auto"/>
            <w:left w:val="none" w:sz="0" w:space="0" w:color="auto"/>
            <w:bottom w:val="none" w:sz="0" w:space="0" w:color="auto"/>
            <w:right w:val="none" w:sz="0" w:space="0" w:color="auto"/>
          </w:divBdr>
        </w:div>
        <w:div w:id="300816266">
          <w:marLeft w:val="1166"/>
          <w:marRight w:val="0"/>
          <w:marTop w:val="0"/>
          <w:marBottom w:val="0"/>
          <w:divBdr>
            <w:top w:val="none" w:sz="0" w:space="0" w:color="auto"/>
            <w:left w:val="none" w:sz="0" w:space="0" w:color="auto"/>
            <w:bottom w:val="none" w:sz="0" w:space="0" w:color="auto"/>
            <w:right w:val="none" w:sz="0" w:space="0" w:color="auto"/>
          </w:divBdr>
        </w:div>
        <w:div w:id="1191260648">
          <w:marLeft w:val="1886"/>
          <w:marRight w:val="0"/>
          <w:marTop w:val="0"/>
          <w:marBottom w:val="0"/>
          <w:divBdr>
            <w:top w:val="none" w:sz="0" w:space="0" w:color="auto"/>
            <w:left w:val="none" w:sz="0" w:space="0" w:color="auto"/>
            <w:bottom w:val="none" w:sz="0" w:space="0" w:color="auto"/>
            <w:right w:val="none" w:sz="0" w:space="0" w:color="auto"/>
          </w:divBdr>
        </w:div>
        <w:div w:id="848106521">
          <w:marLeft w:val="446"/>
          <w:marRight w:val="0"/>
          <w:marTop w:val="0"/>
          <w:marBottom w:val="0"/>
          <w:divBdr>
            <w:top w:val="none" w:sz="0" w:space="0" w:color="auto"/>
            <w:left w:val="none" w:sz="0" w:space="0" w:color="auto"/>
            <w:bottom w:val="none" w:sz="0" w:space="0" w:color="auto"/>
            <w:right w:val="none" w:sz="0" w:space="0" w:color="auto"/>
          </w:divBdr>
        </w:div>
        <w:div w:id="801383392">
          <w:marLeft w:val="1166"/>
          <w:marRight w:val="0"/>
          <w:marTop w:val="0"/>
          <w:marBottom w:val="0"/>
          <w:divBdr>
            <w:top w:val="none" w:sz="0" w:space="0" w:color="auto"/>
            <w:left w:val="none" w:sz="0" w:space="0" w:color="auto"/>
            <w:bottom w:val="none" w:sz="0" w:space="0" w:color="auto"/>
            <w:right w:val="none" w:sz="0" w:space="0" w:color="auto"/>
          </w:divBdr>
        </w:div>
        <w:div w:id="2073383025">
          <w:marLeft w:val="1886"/>
          <w:marRight w:val="0"/>
          <w:marTop w:val="0"/>
          <w:marBottom w:val="0"/>
          <w:divBdr>
            <w:top w:val="none" w:sz="0" w:space="0" w:color="auto"/>
            <w:left w:val="none" w:sz="0" w:space="0" w:color="auto"/>
            <w:bottom w:val="none" w:sz="0" w:space="0" w:color="auto"/>
            <w:right w:val="none" w:sz="0" w:space="0" w:color="auto"/>
          </w:divBdr>
        </w:div>
        <w:div w:id="1297638020">
          <w:marLeft w:val="2606"/>
          <w:marRight w:val="0"/>
          <w:marTop w:val="0"/>
          <w:marBottom w:val="0"/>
          <w:divBdr>
            <w:top w:val="none" w:sz="0" w:space="0" w:color="auto"/>
            <w:left w:val="none" w:sz="0" w:space="0" w:color="auto"/>
            <w:bottom w:val="none" w:sz="0" w:space="0" w:color="auto"/>
            <w:right w:val="none" w:sz="0" w:space="0" w:color="auto"/>
          </w:divBdr>
        </w:div>
        <w:div w:id="1549606242">
          <w:marLeft w:val="1166"/>
          <w:marRight w:val="0"/>
          <w:marTop w:val="0"/>
          <w:marBottom w:val="0"/>
          <w:divBdr>
            <w:top w:val="none" w:sz="0" w:space="0" w:color="auto"/>
            <w:left w:val="none" w:sz="0" w:space="0" w:color="auto"/>
            <w:bottom w:val="none" w:sz="0" w:space="0" w:color="auto"/>
            <w:right w:val="none" w:sz="0" w:space="0" w:color="auto"/>
          </w:divBdr>
        </w:div>
        <w:div w:id="261304018">
          <w:marLeft w:val="1886"/>
          <w:marRight w:val="0"/>
          <w:marTop w:val="0"/>
          <w:marBottom w:val="0"/>
          <w:divBdr>
            <w:top w:val="none" w:sz="0" w:space="0" w:color="auto"/>
            <w:left w:val="none" w:sz="0" w:space="0" w:color="auto"/>
            <w:bottom w:val="none" w:sz="0" w:space="0" w:color="auto"/>
            <w:right w:val="none" w:sz="0" w:space="0" w:color="auto"/>
          </w:divBdr>
        </w:div>
        <w:div w:id="980227806">
          <w:marLeft w:val="2606"/>
          <w:marRight w:val="0"/>
          <w:marTop w:val="0"/>
          <w:marBottom w:val="0"/>
          <w:divBdr>
            <w:top w:val="none" w:sz="0" w:space="0" w:color="auto"/>
            <w:left w:val="none" w:sz="0" w:space="0" w:color="auto"/>
            <w:bottom w:val="none" w:sz="0" w:space="0" w:color="auto"/>
            <w:right w:val="none" w:sz="0" w:space="0" w:color="auto"/>
          </w:divBdr>
        </w:div>
        <w:div w:id="368530906">
          <w:marLeft w:val="2606"/>
          <w:marRight w:val="0"/>
          <w:marTop w:val="0"/>
          <w:marBottom w:val="0"/>
          <w:divBdr>
            <w:top w:val="none" w:sz="0" w:space="0" w:color="auto"/>
            <w:left w:val="none" w:sz="0" w:space="0" w:color="auto"/>
            <w:bottom w:val="none" w:sz="0" w:space="0" w:color="auto"/>
            <w:right w:val="none" w:sz="0" w:space="0" w:color="auto"/>
          </w:divBdr>
        </w:div>
        <w:div w:id="1964801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2C3A1-E566-496D-BFC4-E0C09FE33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5617</TotalTime>
  <Pages>5</Pages>
  <Words>1253</Words>
  <Characters>7145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Wangxuesong (Cedar, Beijing Branch of Hisilicon Research Dept)</cp:lastModifiedBy>
  <cp:revision>32</cp:revision>
  <dcterms:created xsi:type="dcterms:W3CDTF">2017-08-07T12:01:00Z</dcterms:created>
  <dcterms:modified xsi:type="dcterms:W3CDTF">2018-08-10T12:54:00Z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(3)Dz2dadJDQEZe3g7cINNS2QnX/H+3V7G7Dp3gQ/2rHm9uDnZEHqBoVUUWU1MawqhDHq0Pw1RE
Q/ehwsfI4NJ5SD05oF3W/tWZFfkgqFkg34DADpMTVuU55lLF/FvmVG+QDeBi5+0TyeW5chye
5b2oirYjgOYo7UExFHmrw8gctYewTX2zzh7mM9sgmvh/u8aNWX1VokM2ZwKX85u8aucIjGjc
orAoB1NqR88FlVS5Ri</vt:lpwstr>
  </property>
  <property fmtid="{D5CDD505-2E9C-101B-9397-08002B2CF9AE}" pid="3" name="_2015_ms_pID_7253431">
    <vt:lpwstr>QW/1vAIPyQwW0oYVw3Qwx7KllS3RSrPMxKzHRt7eyKGPqI7DUBeY27
/iJTA7iPWuWntQfqLo1y/3ui8lkJZIazaqblS8nkmvZsTjdS+An8em/FgFxAnx0rMQHMrXQp
Gebhva4tsuRfHGUx/GtvIzkSsdjTxlpaXB+NvNtKp3+nFtq1RD/Ju4+lG6eF8pjlVXFiG+Hi
WIYsLy7v9IvP+Jt7gcOq8/qSSB7zVXkD5idR</vt:lpwstr>
  </property>
  <property fmtid="{D5CDD505-2E9C-101B-9397-08002B2CF9AE}" pid="4" name="_2015_ms_pID_7253432">
    <vt:lpwstr>Fw==</vt:lpwstr>
  </property>
</Properties>
</file>